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pPr>
    </w:p>
    <w:p>
      <w:pPr>
        <w:spacing w:after="120" w:before="0"/>
        <w:jc w:val="center"/>
      </w:pPr>
      <w:r>
        <w:rPr>
          <w:rFonts w:ascii="Arial" w:cs="Arial" w:eastAsia="Arial" w:hAnsi="Arial"/>
          <w:b/>
          <w:bCs/>
          <w:caps/>
          <w:color w:val="007A4D"/>
          <w:sz w:val="52"/>
          <w:szCs w:val="52"/>
        </w:rPr>
        <w:t xml:space="preserve">SOUTH AFRICA'S GROWTH AGENDA</w:t>
      </w:r>
    </w:p>
    <w:p>
      <w:pPr>
        <w:spacing w:after="240" w:before="0"/>
        <w:jc w:val="center"/>
      </w:pPr>
      <w:r>
        <w:rPr>
          <w:rFonts w:ascii="Arial" w:cs="Arial" w:eastAsia="Arial" w:hAnsi="Arial"/>
          <w:b/>
          <w:bCs/>
          <w:color w:val="000000"/>
          <w:sz w:val="40"/>
          <w:szCs w:val="40"/>
        </w:rPr>
        <w:t xml:space="preserve">An Integrated Reform Framework</w:t>
      </w:r>
    </w:p>
    <w:p>
      <w:pPr>
        <w:pBdr>
          <w:bottom w:val="single" w:color="FFB612" w:sz="12" w:space="8"/>
        </w:pBdr>
        <w:spacing w:after="240" w:before="0"/>
      </w:pPr>
    </w:p>
    <w:p>
      <w:pPr>
        <w:spacing w:after="480" w:before="0"/>
        <w:jc w:val="center"/>
      </w:pPr>
      <w:r>
        <w:rPr>
          <w:rFonts w:ascii="Arial" w:cs="Arial" w:eastAsia="Arial" w:hAnsi="Arial"/>
          <w:i/>
          <w:iCs/>
          <w:color w:val="4A4A4A"/>
          <w:sz w:val="26"/>
          <w:szCs w:val="26"/>
        </w:rPr>
        <w:t xml:space="preserve">Synthesising Parliamentary Evidence, Budgetary Analysis, and Economic Research</w:t>
      </w:r>
    </w:p>
    <w:p>
      <w:pPr>
        <w:spacing w:before="200"/>
      </w:pPr>
    </w:p>
    <w:p>
      <w:pPr>
        <w:spacing w:after="80" w:before="0"/>
        <w:jc w:val="center"/>
      </w:pPr>
      <w:r>
        <w:rPr>
          <w:rFonts w:ascii="Arial" w:cs="Arial" w:eastAsia="Arial" w:hAnsi="Arial"/>
          <w:color w:val="4A4A4A"/>
          <w:sz w:val="20"/>
          <w:szCs w:val="20"/>
        </w:rPr>
        <w:t xml:space="preserve">Based on 5,256 Parliamentary Budget Review and Recommendation Reports (BRRRs) | 2015–2025</w:t>
      </w:r>
    </w:p>
    <w:p>
      <w:pPr>
        <w:spacing w:after="80" w:before="0"/>
        <w:jc w:val="center"/>
      </w:pPr>
      <w:r>
        <w:rPr>
          <w:rFonts w:ascii="Arial" w:cs="Arial" w:eastAsia="Arial" w:hAnsi="Arial"/>
          <w:color w:val="4A4A4A"/>
          <w:sz w:val="20"/>
          <w:szCs w:val="20"/>
        </w:rPr>
        <w:t xml:space="preserve">132 Policy Ideas Across 5 Reform Packages | 59 Reform Dependencies Mapped</w:t>
      </w:r>
    </w:p>
    <w:p>
      <w:pPr>
        <w:spacing w:after="480" w:before="0"/>
        <w:jc w:val="center"/>
      </w:pPr>
      <w:r>
        <w:rPr>
          <w:rFonts w:ascii="Arial" w:cs="Arial" w:eastAsia="Arial" w:hAnsi="Arial"/>
          <w:color w:val="4A4A4A"/>
          <w:sz w:val="18"/>
          <w:szCs w:val="18"/>
        </w:rPr>
        <w:t xml:space="preserve">Portfolio Committees: Energy | Finance | Labour | Trade &amp; Industry | Infrastructure | Science &amp; Technology | Health | Education</w:t>
      </w:r>
    </w:p>
    <w:p>
      <w:pPr>
        <w:spacing w:before="200"/>
      </w:pPr>
    </w:p>
    <w:p>
      <w:pPr>
        <w:pBdr>
          <w:bottom w:val="single" w:color="DE3831" w:sz="6" w:space="6"/>
        </w:pBdr>
        <w:spacing w:after="160" w:before="0"/>
      </w:pPr>
    </w:p>
    <w:p>
      <w:pPr>
        <w:jc w:val="center"/>
      </w:pPr>
      <w:r>
        <w:rPr>
          <w:rFonts w:ascii="Arial" w:cs="Arial" w:eastAsia="Arial" w:hAnsi="Arial"/>
          <w:b/>
          <w:bCs/>
          <w:color w:val="4A4A4A"/>
          <w:sz w:val="20"/>
          <w:szCs w:val="20"/>
        </w:rPr>
        <w:t xml:space="preserve">March 2026</w:t>
      </w:r>
    </w:p>
    <w:p>
      <w:r>
        <w:br w:type="page"/>
      </w:r>
    </w:p>
    <w:p>
      <w:pPr>
        <w:pStyle w:val="Heading1"/>
        <w:pBdr>
          <w:bottom w:val="single" w:color="007A4D" w:sz="8" w:space="4"/>
        </w:pBdr>
        <w:spacing w:after="160" w:before="200"/>
      </w:pPr>
      <w:r>
        <w:rPr>
          <w:rFonts w:ascii="Arial" w:cs="Arial" w:eastAsia="Arial" w:hAnsi="Arial"/>
          <w:b/>
          <w:bCs/>
          <w:color w:val="007A4D"/>
          <w:sz w:val="32"/>
          <w:szCs w:val="32"/>
        </w:rP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1. Executive Summary</w:t>
      </w:r>
    </w:p>
    <w:p>
      <w:pPr>
        <w:spacing w:after="120" w:before="80"/>
        <w:jc w:val="both"/>
      </w:pPr>
      <w:r>
        <w:rPr>
          <w:rFonts w:ascii="Arial" w:cs="Arial" w:eastAsia="Arial" w:hAnsi="Arial"/>
          <w:color w:val="4A4A4A"/>
          <w:sz w:val="22"/>
          <w:szCs w:val="22"/>
        </w:rPr>
        <w:t xml:space="preserve">South Africa faces a growth trap. After a decade of 1–2% annual GDP growth and a structural unemployment rate above 32% (expanded definition), the economy is caught between binding supply-side constraints and diminished fiscal space. The COVID-19 pandemic erased a decade of employment gains; load-shedding suppressed industrial output by an estimated 5–7% of potential GDP; port and rail dysfunction added 15–30% to logistics costs; and state institutions struggle to execute their mandates even where the policy intent is sound.</w:t>
      </w:r>
    </w:p>
    <w:p>
      <w:pPr>
        <w:spacing w:after="120" w:before="80"/>
        <w:jc w:val="both"/>
      </w:pPr>
      <w:r>
        <w:rPr>
          <w:rFonts w:ascii="Arial" w:cs="Arial" w:eastAsia="Arial" w:hAnsi="Arial"/>
          <w:color w:val="4A4A4A"/>
          <w:sz w:val="22"/>
          <w:szCs w:val="22"/>
        </w:rPr>
        <w:t xml:space="preserve">The central argument of this document is that South Africa's binding constraints compound each other. Energy insecurity raises costs for every sector. Logistics failure limits the export uplift from energy reform. Human capital deficits constrain the workforce that could staff a revitalised industrial base. Governance failure means that reforms, once legislated, remain unimplemented. No single reform is sufficient; the binding constraints must be attacked simultaneously.</w:t>
      </w:r>
    </w:p>
    <w:p>
      <w:pPr>
        <w:spacing w:after="120" w:before="80"/>
        <w:jc w:val="both"/>
      </w:pPr>
      <w:r>
        <w:rPr>
          <w:rFonts w:ascii="Arial" w:cs="Arial" w:eastAsia="Arial" w:hAnsi="Arial"/>
          <w:color w:val="4A4A4A"/>
          <w:sz w:val="22"/>
          <w:szCs w:val="22"/>
        </w:rPr>
        <w:t xml:space="preserve">This framework synthesises three streams of evidence: (i) a decade of parliamentary Budget Review and Recommendation Reports (BRRRs), comprising 5,256 recommendations from six portfolio committees; (ii) a structured database of 132 policy ideas, classified by reform package, time horizon, and growth impact; and (iii) fiscal analysis grounded in the 2026 National Budget and Medium-Term Fiscal Framework.</w:t>
      </w:r>
    </w:p>
    <w:p>
      <w:pPr>
        <w:pStyle w:val="Heading2"/>
        <w:spacing w:after="120" w:before="300"/>
      </w:pPr>
      <w:r>
        <w:rPr>
          <w:rFonts w:ascii="Arial" w:cs="Arial" w:eastAsia="Arial" w:hAnsi="Arial"/>
          <w:b/>
          <w:bCs/>
          <w:color w:val="000000"/>
          <w:sz w:val="26"/>
          <w:szCs w:val="26"/>
        </w:rPr>
        <w:t xml:space="preserve">The Diagnostic in Brief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360"/>
        <w:gridCol w:w="32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Binding Constraint</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Current Symptom</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Priority Reform</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Energy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Load-shedding cuts 5–7% of potential output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ERA competitive market; IRP 2024; grid expansion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Logistics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Port dwell times and rail breakdown raise exporter costs 15–30%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Transnet private ops; port KPIs; rail slot auction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State Capacity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R857bn unimplemented parliamentary recommendations; chronic underspending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Consequence management; fiscal consolidation; SARS expansion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19% of Grade 4 learners read for meaning (PIRLS 2021)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reading crisis response; TVET artisan pipeline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Labour Market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32%+ unemployment; 60%+ youth unemployment (expanded)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SMME red-tape removal; employment subsidy extension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Investment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Fixed investment ~13% of GDP, vs. 25%+ in peer economies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PPP unit reform; FATF exit; permit one-stop-shop</w:t>
            </w:r>
          </w:p>
        </w:tc>
      </w:tr>
    </w:tbl>
    <w:p>
      <w:pPr>
        <w:spacing w:before="120"/>
      </w:pPr>
    </w:p>
    <w:p>
      <w:pPr>
        <w:pStyle w:val="Heading2"/>
        <w:spacing w:after="120" w:before="300"/>
      </w:pPr>
      <w:r>
        <w:rPr>
          <w:rFonts w:ascii="Arial" w:cs="Arial" w:eastAsia="Arial" w:hAnsi="Arial"/>
          <w:b/>
          <w:bCs/>
          <w:color w:val="000000"/>
          <w:sz w:val="26"/>
          <w:szCs w:val="26"/>
        </w:rPr>
        <w:t xml:space="preserve">Key Wins Since Mid-2025 — and What Remains</w:t>
      </w:r>
    </w:p>
    <w:p>
      <w:pPr>
        <w:spacing w:after="120" w:before="80"/>
        <w:jc w:val="both"/>
      </w:pPr>
      <w:r>
        <w:rPr>
          <w:rFonts w:ascii="Arial" w:cs="Arial" w:eastAsia="Arial" w:hAnsi="Arial"/>
          <w:color w:val="4A4A4A"/>
          <w:sz w:val="22"/>
          <w:szCs w:val="22"/>
        </w:rPr>
        <w:t xml:space="preserve">The period since mid-2025 has produced the most concentrated set of reform completions since the democratic transition. South Africa achieved FATF greylisting exit on 24 October 2025, removing a material constraint on correspondent banking and investor confidence. Load-shedding was resolved — not by a single intervention but by the cumulative effect of self-generation licensing, REIPPP rounds, and Eskom's improved energy availability factor, which recovered to approximately 69% by 2025–26, with more than 300 consecutive days of no load-shedding. Operation Vulindlela delivered on its dashboard commitments: ICASA's IMT spectrum auction was completed, the analogue television switch-off was executed (freeing the 700/800 MHz digital dividend bands), the National Rail Policy White Paper was adopted, and the critical skills list was updated and fast-tracked. These are genuine institutional wins that shift the baseline from which the remaining reform agenda operates.</w:t>
      </w:r>
    </w:p>
    <w:p>
      <w:pPr>
        <w:spacing w:after="120" w:before="80"/>
        <w:jc w:val="both"/>
      </w:pPr>
      <w:r>
        <w:rPr>
          <w:rFonts w:ascii="Arial" w:cs="Arial" w:eastAsia="Arial" w:hAnsi="Arial"/>
          <w:color w:val="4A4A4A"/>
          <w:sz w:val="22"/>
          <w:szCs w:val="22"/>
        </w:rPr>
        <w:t xml:space="preserve">What remains is larger and harder. The 132-idea database shows 13 fully implemented reforms and 25 partially implemented — but 48 remain in the proposed stage and 5 are stalled. The water sector is the most pressing unfinished business in the infrastructure package: water-use licence processing remains well below the statutory 90-day target, the National Water Resources Infrastructure Agency is not yet operational, and 11 of South Africa's largest water supply systems are under severe stress. Digital infrastructure gains from spectrum must translate into broadband affordability. And the human capital pipeline — the long-run determinant of growth potential — still shows a literacy crisis, an artisan shortage, and a TVET system that is not fit for purpose.</w:t>
      </w:r>
    </w:p>
    <w:p>
      <w:pPr>
        <w:spacing w:after="120" w:before="80"/>
        <w:jc w:val="both"/>
      </w:pPr>
      <w:r>
        <w:rPr>
          <w:rFonts w:ascii="Arial" w:cs="Arial" w:eastAsia="Arial" w:hAnsi="Arial"/>
          <w:color w:val="4A4A4A"/>
          <w:sz w:val="22"/>
          <w:szCs w:val="22"/>
        </w:rPr>
        <w:t xml:space="preserve">The reform agenda is structured as five mutually reinforcing packages: Infrastructure Unblock, SMME and Employment Acceleration, Human Capital Pipeline, Trade and Industrial Competitiveness, and State Capacity and Governance. Drawn from 132 structured policy ideas, the packages are sequenced across three phases — quick wins (0–6 months), institutional enablers (6–18 months), and PPP-heavy structural reforms (18–36 months) — in a way that is consistent with the fiscal guardrails established by the 2026 Budget.</w:t>
      </w:r>
    </w:p>
    <w:p>
      <w:pPr>
        <w:spacing w:after="120" w:before="80"/>
        <w:jc w:val="both"/>
      </w:pPr>
      <w:r>
        <w:rPr>
          <w:rFonts w:ascii="Arial" w:cs="Arial" w:eastAsia="Arial" w:hAnsi="Arial"/>
          <w:color w:val="4A4A4A"/>
          <w:sz w:val="22"/>
          <w:szCs w:val="22"/>
        </w:rPr>
        <w:t xml:space="preserve">The path to 3–4% sustained growth is achievable, but it requires simultaneous action across all five packages. Piecemeal reform will not break the trap.</w:t>
      </w:r>
    </w:p>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2. Analytical Framework: Six Binding Constraints</w:t>
      </w:r>
    </w:p>
    <w:p>
      <w:pPr>
        <w:spacing w:after="120" w:before="80"/>
        <w:jc w:val="both"/>
      </w:pPr>
      <w:r>
        <w:rPr>
          <w:rFonts w:ascii="Arial" w:cs="Arial" w:eastAsia="Arial" w:hAnsi="Arial"/>
          <w:color w:val="4A4A4A"/>
          <w:sz w:val="22"/>
          <w:szCs w:val="22"/>
        </w:rPr>
        <w:t xml:space="preserve">The Hausman-Rodrik-Velasco (HRV) growth diagnostics methodology asks which constraint is most binding on growth — the 'shadow price' of relaxing each one. In South Africa's case, the HRV tree leads quickly to infrastructure and governance as the binding constraints, with secondary bottlenecks in skills, labour market friction, and access to finance. The diagnostics reveal that these constraints operate in a compound system: relaxing one without the others produces limited growth response.</w:t>
      </w:r>
    </w:p>
    <w:p>
      <w:pPr>
        <w:pStyle w:val="Heading2"/>
        <w:spacing w:after="120" w:before="300"/>
      </w:pPr>
      <w:r>
        <w:rPr>
          <w:rFonts w:ascii="Arial" w:cs="Arial" w:eastAsia="Arial" w:hAnsi="Arial"/>
          <w:b/>
          <w:bCs/>
          <w:color w:val="000000"/>
          <w:sz w:val="26"/>
          <w:szCs w:val="26"/>
        </w:rPr>
        <w:t xml:space="preserve">The Six Binding Constraints</w:t>
      </w:r>
    </w:p>
    <w:p>
      <w:pPr>
        <w:pStyle w:val="Heading3"/>
        <w:spacing w:after="80" w:before="200"/>
      </w:pPr>
      <w:r>
        <w:rPr>
          <w:rFonts w:ascii="Arial" w:cs="Arial" w:eastAsia="Arial" w:hAnsi="Arial"/>
          <w:b/>
          <w:bCs/>
          <w:color w:val="4A4A4A"/>
          <w:sz w:val="22"/>
          <w:szCs w:val="22"/>
        </w:rPr>
        <w:t xml:space="preserve">1. Energy: The Primary Binding Constraint</w:t>
      </w:r>
    </w:p>
    <w:p>
      <w:pPr>
        <w:spacing w:after="120" w:before="80"/>
        <w:jc w:val="both"/>
      </w:pPr>
      <w:r>
        <w:rPr>
          <w:rFonts w:ascii="Arial" w:cs="Arial" w:eastAsia="Arial" w:hAnsi="Arial"/>
          <w:color w:val="4A4A4A"/>
          <w:sz w:val="22"/>
          <w:szCs w:val="22"/>
        </w:rPr>
        <w:t xml:space="preserve">South Africa lost 15,942 gigawatt-hours to load-shedding in 2023 — the equivalent of cutting one-third of the country's productive hours. Eskom's energy availability factor fell below 55% in 2022–23, compared to a design threshold above 80%; by 2025–26 the EAF had recovered to approximately 69%, with more than 300 consecutive days of no load-shedding. The Electricity Regulation Amendment Act (partially implemented) creates the framework for a competitive market; Eskom's unbundling strategy was approved in December 2025 and the National Transmission Company of South Africa (NTCSA) was licensed as market operator. The IRP 2024 update, essential for signalling the long-run generation mix to private investors, remains under finalisation.</w:t>
      </w:r>
    </w:p>
    <w:p>
      <w:pPr>
        <w:spacing w:after="120" w:before="80"/>
        <w:jc w:val="both"/>
      </w:pPr>
      <w:r>
        <w:rPr>
          <w:rFonts w:ascii="Arial" w:cs="Arial" w:eastAsia="Arial" w:hAnsi="Arial"/>
          <w:color w:val="4A4A4A"/>
          <w:sz w:val="22"/>
          <w:szCs w:val="22"/>
        </w:rPr>
        <w:t xml:space="preserve">Load-shedding imposes differential costs: large industrial consumers can invest in backup generation, but SMMEs, township businesses, and agricultural enterprises cannot. This makes energy insecurity both a growth and an inequality constraint.</w:t>
      </w:r>
    </w:p>
    <w:p>
      <w:pPr>
        <w:pStyle w:val="Heading3"/>
        <w:spacing w:after="80" w:before="200"/>
      </w:pPr>
      <w:r>
        <w:rPr>
          <w:rFonts w:ascii="Arial" w:cs="Arial" w:eastAsia="Arial" w:hAnsi="Arial"/>
          <w:b/>
          <w:bCs/>
          <w:color w:val="4A4A4A"/>
          <w:sz w:val="22"/>
          <w:szCs w:val="22"/>
        </w:rPr>
        <w:t xml:space="preserve">2. Logistics: The Second-Order Multiplier</w:t>
      </w:r>
    </w:p>
    <w:p>
      <w:pPr>
        <w:spacing w:after="120" w:before="80"/>
        <w:jc w:val="both"/>
      </w:pPr>
      <w:r>
        <w:rPr>
          <w:rFonts w:ascii="Arial" w:cs="Arial" w:eastAsia="Arial" w:hAnsi="Arial"/>
          <w:color w:val="4A4A4A"/>
          <w:sz w:val="22"/>
          <w:szCs w:val="22"/>
        </w:rPr>
        <w:t xml:space="preserve">Transnet's collapse has compounded energy failure. Container terminal productivity at Durban and Cape Town ranks among the worst globally — berth productivity of 22–28 moves per hour, against a global frontier above 60. Freight rail volumes have fallen from 228 million tonnes to below 160 million tonnes, devastating mining exporters and manufacturers reliant on rail. The Freight Logistics Roadmap (Operation Phakisa successor) provides a policy framework, but private sector participation in terminal operations and rail slot auctions has been resisted by Transnet unions and management.</w:t>
      </w:r>
    </w:p>
    <w:p>
      <w:pPr>
        <w:spacing w:after="120" w:before="80"/>
        <w:jc w:val="both"/>
      </w:pPr>
      <w:r>
        <w:rPr>
          <w:rFonts w:ascii="Arial" w:cs="Arial" w:eastAsia="Arial" w:hAnsi="Arial"/>
          <w:color w:val="4A4A4A"/>
          <w:sz w:val="22"/>
          <w:szCs w:val="22"/>
        </w:rPr>
        <w:t xml:space="preserve">The logistics constraint amplifies the energy constraint: factories that survive load-shedding on self-generation cannot export their product if the port is congested. The growth multiplier from logistics reform is therefore conditional on energy stability.</w:t>
      </w:r>
    </w:p>
    <w:p>
      <w:pPr>
        <w:pStyle w:val="Heading3"/>
        <w:spacing w:after="80" w:before="200"/>
      </w:pPr>
      <w:r>
        <w:rPr>
          <w:rFonts w:ascii="Arial" w:cs="Arial" w:eastAsia="Arial" w:hAnsi="Arial"/>
          <w:b/>
          <w:bCs/>
          <w:color w:val="4A4A4A"/>
          <w:sz w:val="22"/>
          <w:szCs w:val="22"/>
        </w:rPr>
        <w:t xml:space="preserve">3. State Capacity: The Meta-Constraint</w:t>
      </w:r>
    </w:p>
    <w:p>
      <w:pPr>
        <w:spacing w:after="120" w:before="80"/>
        <w:jc w:val="both"/>
      </w:pPr>
      <w:r>
        <w:rPr>
          <w:rFonts w:ascii="Arial" w:cs="Arial" w:eastAsia="Arial" w:hAnsi="Arial"/>
          <w:color w:val="4A4A4A"/>
          <w:sz w:val="22"/>
          <w:szCs w:val="22"/>
        </w:rPr>
        <w:t xml:space="preserve">A decade of parliamentary oversight has produced 5,256 Budget Review and Recommendation Reports (BRRR) recommendations. The same themes — underspending (522 recommendations across eleven years), procurement irregularities (247 recommendations), critical vacancies (231 recommendations) — recur year after year. South Africa does not lack policy design; it lacks implementation capacity. Operation Vulindlela, the joint Presidency-National Treasury reform unit established in 2020, represents the most effective institutional response. Its track record on energy (self-generation licensing), water licences, and visa reform shows what is possible when implementation is separated from the line departments that resist change.</w:t>
      </w:r>
    </w:p>
    <w:p>
      <w:pPr>
        <w:pStyle w:val="Heading3"/>
        <w:spacing w:after="80" w:before="200"/>
      </w:pPr>
      <w:r>
        <w:rPr>
          <w:rFonts w:ascii="Arial" w:cs="Arial" w:eastAsia="Arial" w:hAnsi="Arial"/>
          <w:b/>
          <w:bCs/>
          <w:color w:val="4A4A4A"/>
          <w:sz w:val="22"/>
          <w:szCs w:val="22"/>
        </w:rPr>
        <w:t xml:space="preserve">4. Human Capital: The Long-Run Growth Ceiling</w:t>
      </w:r>
    </w:p>
    <w:p>
      <w:pPr>
        <w:spacing w:after="120" w:before="80"/>
        <w:jc w:val="both"/>
      </w:pPr>
      <w:r>
        <w:rPr>
          <w:rFonts w:ascii="Arial" w:cs="Arial" w:eastAsia="Arial" w:hAnsi="Arial"/>
          <w:color w:val="4A4A4A"/>
          <w:sz w:val="22"/>
          <w:szCs w:val="22"/>
        </w:rPr>
        <w:t xml:space="preserve">The PIRLS 2021 finding that only 19% of South African Grade 4 learners can read for meaning is not merely an education statistic — it is a 15-year growth forecast. The children sitting in Grade 4 today will enter the labour market between 2035 and 2040. Their human capital will determine South Africa's growth potential in that decade. TVET colleges produce artisans at roughly 20% of the economy's estimated need. The NPC estimates a shortage of 400,000 artisans by 2030. These are not fiscal problems: they are institutional and pedagogical failures requiring immediate intervention, even though the returns arrive over a generation.</w:t>
      </w:r>
    </w:p>
    <w:p>
      <w:pPr>
        <w:pStyle w:val="Heading3"/>
        <w:spacing w:after="80" w:before="200"/>
      </w:pPr>
      <w:r>
        <w:rPr>
          <w:rFonts w:ascii="Arial" w:cs="Arial" w:eastAsia="Arial" w:hAnsi="Arial"/>
          <w:b/>
          <w:bCs/>
          <w:color w:val="4A4A4A"/>
          <w:sz w:val="22"/>
          <w:szCs w:val="22"/>
        </w:rPr>
        <w:t xml:space="preserve">5. Labour Market: Friction at the Bottom</w:t>
      </w:r>
    </w:p>
    <w:p>
      <w:pPr>
        <w:spacing w:after="120" w:before="80"/>
        <w:jc w:val="both"/>
      </w:pPr>
      <w:r>
        <w:rPr>
          <w:rFonts w:ascii="Arial" w:cs="Arial" w:eastAsia="Arial" w:hAnsi="Arial"/>
          <w:color w:val="4A4A4A"/>
          <w:sz w:val="22"/>
          <w:szCs w:val="22"/>
        </w:rPr>
        <w:t xml:space="preserve">South Africa's labour market is segmented between a high-wage formal sector with rigid employment protection and an informal sector with minimal legal standing. The expanded unemployment rate of 41.9% (Q4 2024) reflects a labour market that fails to absorb those without credentials or connections. Youth unemployment above 60% (expanded) is both a human tragedy and a political stability risk. The Employment Tax Incentive has partially addressed youth employment costs at the margin, but SMME regulatory burden — multi-step compliance, slow dispute resolution, costly VAT registration — creates a ceiling on formal sector absorption.</w:t>
      </w:r>
    </w:p>
    <w:p>
      <w:pPr>
        <w:pStyle w:val="Heading3"/>
        <w:spacing w:after="80" w:before="200"/>
      </w:pPr>
      <w:r>
        <w:rPr>
          <w:rFonts w:ascii="Arial" w:cs="Arial" w:eastAsia="Arial" w:hAnsi="Arial"/>
          <w:b/>
          <w:bCs/>
          <w:color w:val="4A4A4A"/>
          <w:sz w:val="22"/>
          <w:szCs w:val="22"/>
        </w:rPr>
        <w:t xml:space="preserve">6. Investment Collapse: The Equilibrium Trap</w:t>
      </w:r>
    </w:p>
    <w:p>
      <w:pPr>
        <w:spacing w:after="120" w:before="80"/>
        <w:jc w:val="both"/>
      </w:pPr>
      <w:r>
        <w:rPr>
          <w:rFonts w:ascii="Arial" w:cs="Arial" w:eastAsia="Arial" w:hAnsi="Arial"/>
          <w:color w:val="4A4A4A"/>
          <w:sz w:val="22"/>
          <w:szCs w:val="22"/>
        </w:rPr>
        <w:t xml:space="preserve">Fixed capital formation has fallen from roughly 20% of GDP in 2008 to 13% by 2024 — among the lowest in South Africa's peer group. This reflects a compounding of the above constraints: investors do not build factories in countries with unreliable electricity, slow ports, and uncertain permitting. The FATF greylisting (2023) added correspondent banking risk and signalled governance fragility. Foreign direct investment fell 32% in 2023. Breaking the investment trap requires simultaneous progress on all five of the above constraints, plus credible fiscal management.</w:t>
      </w:r>
    </w:p>
    <w:p>
      <w:pPr>
        <w:pStyle w:val="Heading2"/>
        <w:spacing w:after="120" w:before="300"/>
      </w:pPr>
      <w:r>
        <w:rPr>
          <w:rFonts w:ascii="Arial" w:cs="Arial" w:eastAsia="Arial" w:hAnsi="Arial"/>
          <w:b/>
          <w:bCs/>
          <w:color w:val="000000"/>
          <w:sz w:val="26"/>
          <w:szCs w:val="26"/>
        </w:rPr>
        <w:t xml:space="preserve">The Hausman-Rodrik-Velasco Diagnostic Tree</w:t>
      </w:r>
    </w:p>
    <w:p>
      <w:pPr>
        <w:spacing w:after="120" w:before="80"/>
        <w:jc w:val="both"/>
      </w:pPr>
      <w:r>
        <w:rPr>
          <w:rFonts w:ascii="Arial" w:cs="Arial" w:eastAsia="Arial" w:hAnsi="Arial"/>
          <w:color w:val="4A4A4A"/>
          <w:sz w:val="22"/>
          <w:szCs w:val="22"/>
        </w:rPr>
        <w:t xml:space="preserve">The HRV framework directs attention to the binding constraint by asking: where does the shadow price of reform appear? South Africa's diagnostics point to infrastructure (energy and logistics) as the primary binding constraints on private investment, with state capacity as the meta-constraint that prevents other reforms from translating into outcomes. The practical implication is a sequencing logic: energy and logistics reforms first, because they have the highest cross-sector growth multiplier; governance reforms simultaneously, because without them implementation fails; human capital reforms now, despite the long lag, because the delay compounds. The five reform packages in Section 3 are structured around this logic.</w:t>
      </w:r>
    </w:p>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3. Five Reform Packages</w:t>
      </w:r>
    </w:p>
    <w:p>
      <w:pPr>
        <w:spacing w:after="120" w:before="80"/>
        <w:jc w:val="both"/>
      </w:pPr>
      <w:r>
        <w:rPr>
          <w:rFonts w:ascii="Arial" w:cs="Arial" w:eastAsia="Arial" w:hAnsi="Arial"/>
          <w:color w:val="4A4A4A"/>
          <w:sz w:val="22"/>
          <w:szCs w:val="22"/>
        </w:rPr>
        <w:t xml:space="preserve">South Africa's reform agenda is organised around five interlocking packages. Each package addresses a set of binding constraints identified in the analytical framework. The packages are not independent: Infrastructure Unblock enables SMME growth and Trade Competitiveness; State Capacity enables all packages. The sequencing and dependencies are mapped in Section 4.</w:t>
      </w:r>
    </w:p>
    <w:p>
      <w:pPr>
        <w:pStyle w:val="Heading2"/>
        <w:spacing w:after="120" w:before="300"/>
      </w:pPr>
      <w:r>
        <w:rPr>
          <w:rFonts w:ascii="Arial" w:cs="Arial" w:eastAsia="Arial" w:hAnsi="Arial"/>
          <w:b/>
          <w:bCs/>
          <w:color w:val="000000"/>
          <w:sz w:val="26"/>
          <w:szCs w:val="26"/>
        </w:rPr>
        <w:t xml:space="preserve">Package 1: Infrastructure Unblock</w:t>
      </w:r>
    </w:p>
    <w:p>
      <w:pPr>
        <w:spacing w:after="160" w:before="40"/>
      </w:pPr>
      <w:r>
        <w:rPr>
          <w:rFonts w:ascii="Arial" w:cs="Arial" w:eastAsia="Arial" w:hAnsi="Arial"/>
          <w:i/>
          <w:iCs/>
          <w:color w:val="4A4A4A"/>
          <w:sz w:val="20"/>
          <w:szCs w:val="20"/>
        </w:rPr>
        <w:t xml:space="preserve">36 policy ideas | Avg growth impact: 4.03/5 | Avg feasibility: 3.26/5 | 11 stalled or proposed, 18 implemented/partial</w:t>
      </w:r>
    </w:p>
    <w:p>
      <w:pPr>
        <w:pStyle w:val="Heading3"/>
        <w:spacing w:after="80" w:before="200"/>
      </w:pPr>
      <w:r>
        <w:rPr>
          <w:rFonts w:ascii="Arial" w:cs="Arial" w:eastAsia="Arial" w:hAnsi="Arial"/>
          <w:b/>
          <w:bCs/>
          <w:color w:val="4A4A4A"/>
          <w:sz w:val="22"/>
          <w:szCs w:val="22"/>
        </w:rPr>
        <w:t xml:space="preserve">Theory of Change</w:t>
      </w:r>
    </w:p>
    <w:p>
      <w:pPr>
        <w:spacing w:after="120" w:before="80"/>
        <w:jc w:val="both"/>
      </w:pPr>
      <w:r>
        <w:rPr>
          <w:rFonts w:ascii="Arial" w:cs="Arial" w:eastAsia="Arial" w:hAnsi="Arial"/>
          <w:color w:val="4A4A4A"/>
          <w:sz w:val="22"/>
          <w:szCs w:val="22"/>
        </w:rPr>
        <w:t xml:space="preserve">South Africa's growth ceiling is set by infrastructure failure. Load-shedding cuts industrial output by an estimated 5–7% of potential GDP; dysfunctional ports and rail add 15–30% to logistics costs for exporters; deteriorating roads raise transport poverty in rural areas. These bottlenecks interact: an SMME that survives power cuts still cannot compete internationally if Transnet cannot move its goods reliably. Infrastructure reform therefore carries the highest cross-sector growth multiplier of any package.</w:t>
      </w:r>
    </w:p>
    <w:p>
      <w:pPr>
        <w:spacing w:after="120" w:before="80"/>
        <w:jc w:val="both"/>
      </w:pPr>
      <w:r>
        <w:rPr>
          <w:rFonts w:ascii="Arial" w:cs="Arial" w:eastAsia="Arial" w:hAnsi="Arial"/>
          <w:color w:val="4A4A4A"/>
          <w:sz w:val="22"/>
          <w:szCs w:val="22"/>
        </w:rPr>
        <w:t xml:space="preserve">The package is sequenced around the energy anchor: Eskom restructuring and the Electricity Regulation Amendment Act create the competitive platform; grid expansion and renewables integration deliver the supply; and parallel Transnet and port reforms unblock the logistics corridor. Water and digital infrastructure close the gap. Most reforms here require institutional change and capital, placing the majority in the medium term — but quick regulatory wins (NERSA independence, self-generation licensing, IRP update) can deliver measurable relief within a year.</w:t>
      </w:r>
    </w:p>
    <w:p>
      <w:pPr>
        <w:spacing w:after="120" w:before="80"/>
        <w:jc w:val="both"/>
      </w:pPr>
      <w:r>
        <w:rPr>
          <w:rFonts w:ascii="Arial" w:cs="Arial" w:eastAsia="Arial" w:hAnsi="Arial"/>
          <w:color w:val="4A4A4A"/>
          <w:sz w:val="22"/>
          <w:szCs w:val="22"/>
        </w:rPr>
        <w:t xml:space="preserve">Operation Vulindlela's infrastructure portfolio has delivered measurably since 2020. The IMT spectrum auction, completed by ICASA in 2022, ended a 15-year spectrum drought and unlocked R15–20 billion in operator investment. The analogue television switch-off freed the 700/800 MHz digital dividend bands for 5G/LTE. The National Rail Policy White Paper provides the framework for third-party access to freight rail — a reform South Africa has debated since 1994. These completions raise the 'implemented or partial' count in this package to 18 of 36 reforms. The remaining 11 proposed or stalled items are the hardest: Eskom's full unbundling, water infrastructure agency establishment, and port concession finalisation require sustained political will through the medium term.</w:t>
      </w:r>
    </w:p>
    <w:p>
      <w:pPr>
        <w:pStyle w:val="Heading3"/>
        <w:spacing w:after="80" w:before="200"/>
      </w:pPr>
      <w:r>
        <w:rPr>
          <w:rFonts w:ascii="Arial" w:cs="Arial" w:eastAsia="Arial" w:hAnsi="Arial"/>
          <w:b/>
          <w:bCs/>
          <w:color w:val="4A4A4A"/>
          <w:sz w:val="22"/>
          <w:szCs w:val="22"/>
        </w:rPr>
        <w:t xml:space="preserve">OV Milestone Progress (Infrastructure)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600"/>
        <w:gridCol w:w="1200"/>
        <w:gridCol w:w="14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Policy Idea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Committee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Status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Growth Impact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IMT Spectrum Auction Completion (ICASA)</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DCDT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Digital TV Migration and Analogue Switch-Off</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DCDT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Rapid Deployment Policy for Telecoms 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DCDT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Rail Policy White Paper: Third-Party Access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Transport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Water-Use Licence Reform: Application Streamlining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DWS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Water Resources Infrastructure Agency (NWRIA)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DWS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Freight Rail Third-Party Access and Transnet Separation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Transport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Port Productivity Improvement Programme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Transport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bl>
    <w:p>
      <w:pPr>
        <w:pStyle w:val="Heading3"/>
        <w:spacing w:after="80" w:before="200"/>
      </w:pPr>
      <w:r>
        <w:rPr>
          <w:rFonts w:ascii="Arial" w:cs="Arial" w:eastAsia="Arial" w:hAnsi="Arial"/>
          <w:b/>
          <w:bCs/>
          <w:color w:val="4A4A4A"/>
          <w:sz w:val="22"/>
          <w:szCs w:val="22"/>
        </w:rPr>
        <w:t xml:space="preserve">Top Priority Remaining Reforms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600"/>
        <w:gridCol w:w="1200"/>
        <w:gridCol w:w="14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Policy Idea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Committee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Status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Growth Impact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Integrated Resource Plan (IRP) 2024 Update — Revised Electricity Mix</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Energy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Electricity Regulation Amendment Act — Competitive Electricity Market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Min. Resources &amp; Energy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Renewable Energy Grid Integration and Transmission Expansion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Min. Resources &amp; Energy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Eskom Restructuring — Generation, Transmission, Distribution Unbundling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Energy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Transnet Freight Rail and Port Private Sector Participation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Transport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Transmission Company Capitalisation and Grid Expansion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Min. Resources &amp; Energy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Raw Water Pricing Strategy Reform</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OV / DWS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NERSA Institutional Independence and Regulatory Capacity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Energy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Detail</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Parliamentary Evidence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Energy portfolio committees debated load-shedding in every annual BRRR from 2015–2025. NERSA's regulatory independence and Eskom's capital maintenance failures are among the most persistent themes. 51 BRRR recommendations specifically address energy security across 10 years. The Mineral Resources and Energy committee has debated the ERA competitive market framework, IRP updates, and private generation licensing in every session since 2021.</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Comparative Precedent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Vietnam scaled from near-zero solar to 16,500 MW (2017–2021) through regulatory simplification. Chile's SING/SIC grid integration (2017) provides a model for transmission company capitalisation. Botswana's mineral revenue management offers lessons for South Africa's critical minerals beneficiation strategy.</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Assessment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Phase 1 (NERSA independence, self-generation fast-track): fiscally neutral — regulatory reform only. Phase 2 (grid expansion, NTC capitalisation): R30–50bn, fundable via blended finance and GEPF mandate. Phase 3 (port/rail private participation, green hydrogen): primarily private capex, with SOE reprioritisation. The 2025 MTBPS commits R30.78bn to private energy build (1,401 MW); this package accelerates that pipeline.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Time Horizon &amp; Dependencies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Quick wins (0–6m): NERSA reform, IRP publication, self-generation licensing extension. Medium-term (6–18m): ERA full implementation, NTC establishment, port KPI framework. Long-term (18–36m): Eskom full unbundling, transmission expansion, green hydrogen commercial scale. Unlocked by: State Capacity package (fiscal headroom, SOE governance). Unlocks: Trade Competitiveness (manufacturing energy reliability), SMME growth (township energy access).</w:t>
            </w:r>
          </w:p>
        </w:tc>
      </w:tr>
    </w:tbl>
    <w:p>
      <w:pPr>
        <w:spacing w:before="120"/>
      </w:pPr>
    </w:p>
    <w:p>
      <w:pPr>
        <w:pStyle w:val="Heading2"/>
        <w:spacing w:after="120" w:before="300"/>
      </w:pPr>
      <w:r>
        <w:rPr>
          <w:rFonts w:ascii="Arial" w:cs="Arial" w:eastAsia="Arial" w:hAnsi="Arial"/>
          <w:b/>
          <w:bCs/>
          <w:color w:val="000000"/>
          <w:sz w:val="26"/>
          <w:szCs w:val="26"/>
        </w:rPr>
        <w:t xml:space="preserve">Package 2: SMME and Employment Acceleration</w:t>
      </w:r>
    </w:p>
    <w:p>
      <w:pPr>
        <w:spacing w:after="160" w:before="40"/>
      </w:pPr>
      <w:r>
        <w:rPr>
          <w:rFonts w:ascii="Arial" w:cs="Arial" w:eastAsia="Arial" w:hAnsi="Arial"/>
          <w:i/>
          <w:iCs/>
          <w:color w:val="4A4A4A"/>
          <w:sz w:val="20"/>
          <w:szCs w:val="20"/>
        </w:rPr>
        <w:t xml:space="preserve">16 policy ideas | Avg growth impact: 3.31/5 | Avg feasibility: 2.93/5 | 11 stalled or proposed, 4 implemented/partial</w:t>
      </w:r>
    </w:p>
    <w:p>
      <w:pPr>
        <w:pStyle w:val="Heading3"/>
        <w:spacing w:after="80" w:before="200"/>
      </w:pPr>
      <w:r>
        <w:rPr>
          <w:rFonts w:ascii="Arial" w:cs="Arial" w:eastAsia="Arial" w:hAnsi="Arial"/>
          <w:b/>
          <w:bCs/>
          <w:color w:val="4A4A4A"/>
          <w:sz w:val="22"/>
          <w:szCs w:val="22"/>
        </w:rPr>
        <w:t xml:space="preserve">Theory of Change</w:t>
      </w:r>
    </w:p>
    <w:p>
      <w:pPr>
        <w:spacing w:after="120" w:before="80"/>
        <w:jc w:val="both"/>
      </w:pPr>
      <w:r>
        <w:rPr>
          <w:rFonts w:ascii="Arial" w:cs="Arial" w:eastAsia="Arial" w:hAnsi="Arial"/>
          <w:color w:val="4A4A4A"/>
          <w:sz w:val="22"/>
          <w:szCs w:val="22"/>
        </w:rPr>
        <w:t xml:space="preserve">With formal employment growing at under 1% per year and the unemployment rate structurally above 30%, the only credible near-term jobs engine is small and medium enterprise growth. SMMEs account for roughly 60% of employment but face a regulatory environment ranked among the most burdensome in sub-Saharan Africa: multi-step compliance, slow dispute resolution, constrained access to finance, and procurement markets effectively closed to new entrants. Each layer of friction is a lost job.</w:t>
      </w:r>
    </w:p>
    <w:p>
      <w:pPr>
        <w:spacing w:after="120" w:before="80"/>
        <w:jc w:val="both"/>
      </w:pPr>
      <w:r>
        <w:rPr>
          <w:rFonts w:ascii="Arial" w:cs="Arial" w:eastAsia="Arial" w:hAnsi="Arial"/>
          <w:color w:val="4A4A4A"/>
          <w:sz w:val="22"/>
          <w:szCs w:val="22"/>
        </w:rPr>
        <w:t xml:space="preserve">This package attacks friction directly. Red-tape reduction and BizPortal integration can be achieved by regulatory amendment alone — they are quick wins. SEFA mandate reform and SMME procurement enforcement require institutional alignment but no new spending. The informal economy integration reforms have the longest political economy, but even partial progress — simplified tax registration, dignified trading infrastructure — expands the base. Taken together, the package targets the regulatory and financial bottlenecks identified by the Presidential SMME Summit as the binding constraints on small-business job creation.</w:t>
      </w:r>
    </w:p>
    <w:p>
      <w:pPr>
        <w:spacing w:after="120" w:before="80"/>
        <w:jc w:val="both"/>
      </w:pPr>
      <w:r>
        <w:rPr>
          <w:rFonts w:ascii="Arial" w:cs="Arial" w:eastAsia="Arial" w:hAnsi="Arial"/>
          <w:color w:val="4A4A4A"/>
          <w:sz w:val="22"/>
          <w:szCs w:val="22"/>
        </w:rPr>
        <w:t xml:space="preserve">The BRRR evidence on employment is striking: 400 recommendations across 11 years specifically address unemployment and job creation — the second-highest theme after fiscal management. Yet the persistence of the problem indicates that the policy interventions recommended have not been implemented. The SMME Ombud service, legislated in the National Small Enterprise Amendment Act, was partially implemented but remains under-resourced. BizPortal — the intended single point of business registration — launched in 2020 but has not yet integrated municipal licensing, SARS registration, and labour compliance in a single digital workflow.</w:t>
      </w:r>
    </w:p>
    <w:p>
      <w:pPr>
        <w:pStyle w:val="Heading3"/>
        <w:spacing w:after="80" w:before="200"/>
      </w:pPr>
      <w:r>
        <w:rPr>
          <w:rFonts w:ascii="Arial" w:cs="Arial" w:eastAsia="Arial" w:hAnsi="Arial"/>
          <w:b/>
          <w:bCs/>
          <w:color w:val="4A4A4A"/>
          <w:sz w:val="22"/>
          <w:szCs w:val="22"/>
        </w:rPr>
        <w:t xml:space="preserve">Top Priority Reforms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600"/>
        <w:gridCol w:w="1200"/>
        <w:gridCol w:w="14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Policy Idea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Committee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Status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Growth Impact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Small Enterprise Amendment Act: Ombud Service Operationalisation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Small Business Development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SMME Red Tape Reduction: BizPortal and Compliance Integration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Small Business Development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SMME Regulatory Burden Reduction (TIC Committee)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Debated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Urban Land Release for Affordable Housing and 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Public Works &amp; 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Employment Tax Incentive Extension and Expansion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SEFA Mandate Reform — Blended Finance for Township SMEs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Small Business Development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Detail</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Parliamentary Evidence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The Small Business Development committee has consistently flagged SMME access to procurement, SEFA underspending, and BizPortal integration gaps. The CCMA's caseload data, presented annually to the Labour committee, shows that unfair dismissal disputes disproportionately affect small business owners, who lack HR capacity to navigate the process. 400 BRRR recommendations across 11 years address employment creation.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Comparative Precedent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Rwanda's RDB single-window reduced business registration from 16 steps to 6 hours (2008–2012). Colombia's simplified tax regime for small businesses increased formal sector registration by 18% in the first two years. South Africa's own experience with the Employment Tax Incentive shows measurable positive effects on youth employment: firms using ETI employ 8–12% more young workers at the eligible age threshold.</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Assessment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Phase 1 (BizPortal full integration, Ombud operationalisation): R200–500m — administrative and IT costs, reprioritisable. Phase 2 (SEFA blended finance facility, procurement set-asides): R1–3bn, self-funding via interest receipts and procurement savings. Phase 3 (informal economy formalisation): revenue-positive as new tax registrants add to the base. The package is net fiscal-neutral to positive over the medium term.</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Time Horizon &amp; Dependencies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Quick wins (0–6m): BizPortal integration, SMME procurement enforcement directive, CCMA process simplification. Medium-term (6–18m): SEFA mandate reform, Employment Tax Incentive extension, SMME development finance vehicle. Long-term (18–36m): informal economy formalisation, township trading infrastructure. Enabled by: Infrastructure Unblock (energy for township businesses). Enables: Trade Competitiveness (larger domestic supplier base).</w:t>
            </w:r>
          </w:p>
        </w:tc>
      </w:tr>
    </w:tbl>
    <w:p>
      <w:pPr>
        <w:spacing w:before="120"/>
      </w:pPr>
    </w:p>
    <w:p>
      <w:pPr>
        <w:pStyle w:val="Heading2"/>
        <w:spacing w:after="120" w:before="300"/>
      </w:pPr>
      <w:r>
        <w:rPr>
          <w:rFonts w:ascii="Arial" w:cs="Arial" w:eastAsia="Arial" w:hAnsi="Arial"/>
          <w:b/>
          <w:bCs/>
          <w:color w:val="000000"/>
          <w:sz w:val="26"/>
          <w:szCs w:val="26"/>
        </w:rPr>
        <w:t xml:space="preserve">Package 3: Human Capital Pipeline</w:t>
      </w:r>
    </w:p>
    <w:p>
      <w:pPr>
        <w:spacing w:after="160" w:before="40"/>
      </w:pPr>
      <w:r>
        <w:rPr>
          <w:rFonts w:ascii="Arial" w:cs="Arial" w:eastAsia="Arial" w:hAnsi="Arial"/>
          <w:i/>
          <w:iCs/>
          <w:color w:val="4A4A4A"/>
          <w:sz w:val="20"/>
          <w:szCs w:val="20"/>
        </w:rPr>
        <w:t xml:space="preserve">30 policy ideas | Avg growth impact: 3.50/5 | Avg feasibility: 3.14/5 | 14 stalled or proposed, 7 implemented/partial</w:t>
      </w:r>
    </w:p>
    <w:p>
      <w:pPr>
        <w:pStyle w:val="Heading3"/>
        <w:spacing w:after="80" w:before="200"/>
      </w:pPr>
      <w:r>
        <w:rPr>
          <w:rFonts w:ascii="Arial" w:cs="Arial" w:eastAsia="Arial" w:hAnsi="Arial"/>
          <w:b/>
          <w:bCs/>
          <w:color w:val="4A4A4A"/>
          <w:sz w:val="22"/>
          <w:szCs w:val="22"/>
        </w:rPr>
        <w:t xml:space="preserve">Theory of Change</w:t>
      </w:r>
    </w:p>
    <w:p>
      <w:pPr>
        <w:spacing w:after="120" w:before="80"/>
        <w:jc w:val="both"/>
      </w:pPr>
      <w:r>
        <w:rPr>
          <w:rFonts w:ascii="Arial" w:cs="Arial" w:eastAsia="Arial" w:hAnsi="Arial"/>
          <w:color w:val="4A4A4A"/>
          <w:sz w:val="22"/>
          <w:szCs w:val="22"/>
        </w:rPr>
        <w:t xml:space="preserve">South Africa's medium-term growth potential is capped by human capital failure. Only 19% of Grade 4 learners can read for meaning (PIRLS 2021) — the worst outcome among middle-income comparators. The TVET system produces artisans at roughly 20% of the economy's estimated need. Healthcare worker unemployment coexists with healthcare worker shortages in public facilities. These are not primarily fiscal problems; they are institutional, pedagogical, and governance failures that can be addressed now, but whose full returns arrive in 8–15 years. Starting late means locking in the human capital deficit for a generation.</w:t>
      </w:r>
    </w:p>
    <w:p>
      <w:pPr>
        <w:spacing w:after="120" w:before="80"/>
        <w:jc w:val="both"/>
      </w:pPr>
      <w:r>
        <w:rPr>
          <w:rFonts w:ascii="Arial" w:cs="Arial" w:eastAsia="Arial" w:hAnsi="Arial"/>
          <w:color w:val="4A4A4A"/>
          <w:sz w:val="22"/>
          <w:szCs w:val="22"/>
        </w:rPr>
        <w:t xml:space="preserve">The package is anchored in the reading crisis: foundation literacy is the prerequisite for every other human capital outcome. ECD reform feeds into primary literacy; primary literacy feeds TVET take-up and university readiness; TVET quality feeds the manufacturing and energy transition skills pipelines. Health system strengthening runs in parallel as a labour productivity intervention — TB, mental health, and the primary healthcare platform directly affect workforce capacity.</w:t>
      </w:r>
    </w:p>
    <w:p>
      <w:pPr>
        <w:spacing w:after="120" w:before="80"/>
        <w:jc w:val="both"/>
      </w:pPr>
      <w:r>
        <w:rPr>
          <w:rFonts w:ascii="Arial" w:cs="Arial" w:eastAsia="Arial" w:hAnsi="Arial"/>
          <w:color w:val="4A4A4A"/>
          <w:sz w:val="22"/>
          <w:szCs w:val="22"/>
        </w:rPr>
        <w:t xml:space="preserve">The international precedent is Brazil's Bolsa Família-linked school attendance and the subsequent literacy improvements. South Africa already has the SASSA grant infrastructure; attaching minimum school attendance and reading assessment conditions to child grants — as proposed in the Basic Education committee — could replicate the attendance gains without new fiscal commitment. Similarly, South Korea's transformation of its TVET system in the 1970s–1980s, through industry-linked apprenticeship and examination reform, provides a model for the SETA/TVET restructuring that Parliament has debated but not enacted.</w:t>
      </w:r>
    </w:p>
    <w:p>
      <w:pPr>
        <w:pStyle w:val="Heading3"/>
        <w:spacing w:after="80" w:before="200"/>
      </w:pPr>
      <w:r>
        <w:rPr>
          <w:rFonts w:ascii="Arial" w:cs="Arial" w:eastAsia="Arial" w:hAnsi="Arial"/>
          <w:b/>
          <w:bCs/>
          <w:color w:val="4A4A4A"/>
          <w:sz w:val="22"/>
          <w:szCs w:val="22"/>
        </w:rPr>
        <w:t xml:space="preserve">Top Priority Reforms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600"/>
        <w:gridCol w:w="1200"/>
        <w:gridCol w:w="14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Policy Idea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Committee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Status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Growth Impact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Reading and Literacy Crisis Response Programme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Basic Education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TVET College Quality and Industry Relevance — Artisan Pipeline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Higher Education &amp; Training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Advanced Manufacturing Skills for Energy Transition (EV, Solar, Green Hydrogen)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Higher Education &amp; Training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ECD Infrastructure Rollout and Practitioner Qualification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Basic Education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SETA Governance Reform and Skills Levy Redesign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Higher Education &amp; Training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4IR and Digital Skills Pipeline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Debated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NSFAS Sustainable Funding Model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Higher Education &amp; Training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Health Insurance — Credible Implementation Roadmap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Health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Detail</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Parliamentary Evidence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Basic Education and Higher Education committees have both flagged the reading crisis, NSFAS administration failures, and TVET under-enrolment. The Health committee has raised the paradox of healthcare worker unemployment alongside public sector vacancies in every BRRR since 2018. SETA performance has been a persistent concern: of 21 SETAs, fewer than 10 consistently meet their planned training targets.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Comparative Precedent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Brazil's Bolsa Família conditioned school attendance increases attendance and secondary completion. South Korea's TVET transformation (1970s–1980s) produced a skilled industrial workforce that underpinned the electronics and automotive export boom. Ethiopia's health extension workers programme offers a low-cost model for community health coverage relevant to NHI primary care platform design.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Assessment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The reading crisis response is primarily a reallocation within the basic education budget — structured literacy instruction, teacher training, and reading materials do not require new spending, only reprioritisation and accountability. TVET quality improvements require R3–8bn over the medium term. NSFAS reform is revenue-neutral if the loan recovery mechanism is strengthened. Health system reform is fiscally complex: NHI is expensive; a phased roadmap that strengthens primary care first is the fiscally prudent path.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Time Horizon &amp; Dependencies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Quick wins (0–6m): Reading crisis declaration, structured literacy instruction mandate, SETA governance audit, university certification backlog elimination. Medium-term (6–18m): ECD rollout, TVET industry partnerships, healthcare worker deployment reform. Long-term (18–36m): Full TVET restructuring, NHI phase implementation, 4IR skills at scale. Enabled by: State Capacity (SETA governance), Infrastructure (digital skills connectivity). Lags: 8–15 years for full economic impact.</w:t>
            </w:r>
          </w:p>
        </w:tc>
      </w:tr>
    </w:tbl>
    <w:p>
      <w:pPr>
        <w:spacing w:before="120"/>
      </w:pPr>
    </w:p>
    <w:p>
      <w:pPr>
        <w:pStyle w:val="Heading2"/>
        <w:spacing w:after="120" w:before="300"/>
      </w:pPr>
      <w:r>
        <w:rPr>
          <w:rFonts w:ascii="Arial" w:cs="Arial" w:eastAsia="Arial" w:hAnsi="Arial"/>
          <w:b/>
          <w:bCs/>
          <w:color w:val="000000"/>
          <w:sz w:val="26"/>
          <w:szCs w:val="26"/>
        </w:rPr>
        <w:t xml:space="preserve">Package 4: Trade and Industrial Competitiveness</w:t>
      </w:r>
    </w:p>
    <w:p>
      <w:pPr>
        <w:spacing w:after="160" w:before="40"/>
      </w:pPr>
      <w:r>
        <w:rPr>
          <w:rFonts w:ascii="Arial" w:cs="Arial" w:eastAsia="Arial" w:hAnsi="Arial"/>
          <w:i/>
          <w:iCs/>
          <w:color w:val="4A4A4A"/>
          <w:sz w:val="20"/>
          <w:szCs w:val="20"/>
        </w:rPr>
        <w:t xml:space="preserve">24 policy ideas | Avg growth impact: 3.29/5 | Avg feasibility: 3.00/5 | 8 stalled or proposed, 2 implemented/partial</w:t>
      </w:r>
    </w:p>
    <w:p>
      <w:pPr>
        <w:pStyle w:val="Heading3"/>
        <w:spacing w:after="80" w:before="200"/>
      </w:pPr>
      <w:r>
        <w:rPr>
          <w:rFonts w:ascii="Arial" w:cs="Arial" w:eastAsia="Arial" w:hAnsi="Arial"/>
          <w:b/>
          <w:bCs/>
          <w:color w:val="4A4A4A"/>
          <w:sz w:val="22"/>
          <w:szCs w:val="22"/>
        </w:rPr>
        <w:t xml:space="preserve">Theory of Change</w:t>
      </w:r>
    </w:p>
    <w:p>
      <w:pPr>
        <w:spacing w:after="120" w:before="80"/>
        <w:jc w:val="both"/>
      </w:pPr>
      <w:r>
        <w:rPr>
          <w:rFonts w:ascii="Arial" w:cs="Arial" w:eastAsia="Arial" w:hAnsi="Arial"/>
          <w:color w:val="4A4A4A"/>
          <w:sz w:val="22"/>
          <w:szCs w:val="22"/>
        </w:rPr>
        <w:t xml:space="preserve">South Africa's economy is too small to grow on domestic demand alone. With a GDP of roughly $380 billion and structural unemployment above 30%, sustainable growth requires deeper participation in global value chains. AfCFTA creates a $3 trillion continental market; AGOA provides preferential US access; the energy transition creates demand for South African critical minerals and green hydrogen. But capturing these opportunities requires competitive logistics, credible industrial policy, and a regulatory environment that rewards investment.</w:t>
      </w:r>
    </w:p>
    <w:p>
      <w:pPr>
        <w:spacing w:after="120" w:before="80"/>
        <w:jc w:val="both"/>
      </w:pPr>
      <w:r>
        <w:rPr>
          <w:rFonts w:ascii="Arial" w:cs="Arial" w:eastAsia="Arial" w:hAnsi="Arial"/>
          <w:color w:val="4A4A4A"/>
          <w:sz w:val="22"/>
          <w:szCs w:val="22"/>
        </w:rPr>
        <w:t xml:space="preserve">The package combines trade facilitation (AfCFTA, AGOA, BRICS+ payment systems) with sector-specific master plans (auto, textiles, steel, minerals beneficiation) and the horizontal enablers that make them credible: competition policy, IP reform, and digital markets. Science, technology, and innovation reforms connect commercial R&amp;D to industrial strategy. The theory of change is comparative advantage: South Africa has structural strengths in minerals, automotive assembly, agri-processing, and potentially green hydrogen — industrial policy should reinforce these positions rather than try to create winners from scratch.</w:t>
      </w:r>
    </w:p>
    <w:p>
      <w:pPr>
        <w:spacing w:after="120" w:before="80"/>
        <w:jc w:val="both"/>
      </w:pPr>
      <w:r>
        <w:rPr>
          <w:rFonts w:ascii="Arial" w:cs="Arial" w:eastAsia="Arial" w:hAnsi="Arial"/>
          <w:color w:val="4A4A4A"/>
          <w:sz w:val="22"/>
          <w:szCs w:val="22"/>
        </w:rPr>
        <w:t xml:space="preserve">The South African automotive sector offers the most compelling domestic precedent. The Motor Industry Development Programme (MIDP, 1995–2012) and its successor APDP successfully used production and investment incentives to grow the sector from 40,000 to 600,000 vehicles per year. The APDP Phase 2 enhancement, currently debated by the Trade, Industry and Competition committee, must address the managed transition to electric vehicles — a challenge that Vietnam and Thailand are also navigating. The lesson from the MIDP is that industrial policy works when it is linked to verifiable production outcomes, time-limited, and insulated from rent-seeking.</w:t>
      </w:r>
    </w:p>
    <w:p>
      <w:pPr>
        <w:pStyle w:val="Heading3"/>
        <w:spacing w:after="80" w:before="200"/>
      </w:pPr>
      <w:r>
        <w:rPr>
          <w:rFonts w:ascii="Arial" w:cs="Arial" w:eastAsia="Arial" w:hAnsi="Arial"/>
          <w:b/>
          <w:bCs/>
          <w:color w:val="4A4A4A"/>
          <w:sz w:val="22"/>
          <w:szCs w:val="22"/>
        </w:rPr>
        <w:t xml:space="preserve">Top Priority Reforms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600"/>
        <w:gridCol w:w="1200"/>
        <w:gridCol w:w="14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Policy Idea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Committee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Status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Growth Impact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Automotive Production and Development Programme (APDP Phase 2) Enhancement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Debated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EV White Paper — Managed Automotive Transition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Critical Minerals Beneficiation Strategy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Min. Resources &amp; Energy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AGOA Retention and Post-AGOA Trade Diversification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Debated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AfCFTA Implementation and Intra-African Trade Expansion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Debated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Green Hydrogen Commercialisation Strategy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Competition Commission Digital Markets Inquiry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BBBEE Equity Equivalent Investment Programme (EEIP) Expansion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Industry &amp; Competition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Detail</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Parliamentary Evidence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The Trade, Industry and Competition committee has the highest concentration of implemented or partially-implemented ideas of any committee in the database, but also the most complex political economy. AGOA retention has been debated in every session since 2023, reflecting anxiety about US trade policy. The Critical Minerals Beneficiation Strategy is under review but faces a tension between raw mineral export revenues (short-run) and beneficiation jobs (long-run).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Comparative Precedent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South Africa's own MIDP/APDP (1995–2024) demonstrates that export-linked industrial policy can work. Chile's fiscal framework provides a model for managing commodity revenue windfalls from critical minerals. Botswana's diamond beneficiation — cutting and polishing mandates tied to Debswana licensing — shows that beneficiation is politically achievable when embedded in the resource licensing framework.</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Assessment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The APDP Phase 2 and EV transition require R15–25bn in production incentives over 5 years — offset by continued automotive export revenues and jobs. Critical minerals beneficiation is initially revenue-neutral (higher processing value offset by lower raw export volumes) with a long-run positive fiscal effect. Trade facilitation (AGOA, AfCFTA) is fiscally low-cost. The package is the most fiscally challenging of the five, requiring a credible medium-term industrial policy budget commitment.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Time Horizon &amp; Dependencies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Quick wins (0–6m): AGOA diplomatic engagement, AfCFTA tariff schedule gazetting, competition remedies implementation. Medium-term (6–18m): EV White Paper, APDP Phase 2 enhancements, minerals beneficiation framework. Long-term (18–36m): green hydrogen commercial scale, full AfCFTA operationalisation, industrial clustering in SEZs. Enabled by: Infrastructure (energy for manufacturing, ports for exports), Human Capital (skills for advanced manufacturing).</w:t>
            </w:r>
          </w:p>
        </w:tc>
      </w:tr>
    </w:tbl>
    <w:p>
      <w:pPr>
        <w:spacing w:before="120"/>
      </w:pPr>
    </w:p>
    <w:p>
      <w:pPr>
        <w:pStyle w:val="Heading2"/>
        <w:spacing w:after="120" w:before="300"/>
      </w:pPr>
      <w:r>
        <w:rPr>
          <w:rFonts w:ascii="Arial" w:cs="Arial" w:eastAsia="Arial" w:hAnsi="Arial"/>
          <w:b/>
          <w:bCs/>
          <w:color w:val="000000"/>
          <w:sz w:val="26"/>
          <w:szCs w:val="26"/>
        </w:rPr>
        <w:t xml:space="preserve">Package 5: State Capacity and Governance</w:t>
      </w:r>
    </w:p>
    <w:p>
      <w:pPr>
        <w:spacing w:after="160" w:before="40"/>
      </w:pPr>
      <w:r>
        <w:rPr>
          <w:rFonts w:ascii="Arial" w:cs="Arial" w:eastAsia="Arial" w:hAnsi="Arial"/>
          <w:i/>
          <w:iCs/>
          <w:color w:val="4A4A4A"/>
          <w:sz w:val="20"/>
          <w:szCs w:val="20"/>
        </w:rPr>
        <w:t xml:space="preserve">26 policy ideas | Avg growth impact: 3.12/5 | Avg feasibility: 3.00/5 | 9 stalled or proposed, 7 implemented/partial</w:t>
      </w:r>
    </w:p>
    <w:p>
      <w:pPr>
        <w:pStyle w:val="Heading3"/>
        <w:spacing w:after="80" w:before="200"/>
      </w:pPr>
      <w:r>
        <w:rPr>
          <w:rFonts w:ascii="Arial" w:cs="Arial" w:eastAsia="Arial" w:hAnsi="Arial"/>
          <w:b/>
          <w:bCs/>
          <w:color w:val="4A4A4A"/>
          <w:sz w:val="22"/>
          <w:szCs w:val="22"/>
        </w:rPr>
        <w:t xml:space="preserve">Theory of Change</w:t>
      </w:r>
    </w:p>
    <w:p>
      <w:pPr>
        <w:spacing w:after="120" w:before="80"/>
        <w:jc w:val="both"/>
      </w:pPr>
      <w:r>
        <w:rPr>
          <w:rFonts w:ascii="Arial" w:cs="Arial" w:eastAsia="Arial" w:hAnsi="Arial"/>
          <w:color w:val="4A4A4A"/>
          <w:sz w:val="22"/>
          <w:szCs w:val="22"/>
        </w:rPr>
        <w:t xml:space="preserve">Every other reform package is mediated by state institutions: regulators, procurement systems, tax authorities, SOE boards, provincial departments. Where those institutions are captured, underfunded, or dysfunctional, reform legislation sits unimplemented and fiscal resources leak. South Africa's structural fiscal deficit — debt service now absorbs over 20 cents of every revenue rand — is itself a governance failure compounded by Eskom bailouts, SOE losses, and revenue shortfalls that a fully capacitated SARS could partially recover.</w:t>
      </w:r>
    </w:p>
    <w:p>
      <w:pPr>
        <w:spacing w:after="120" w:before="80"/>
        <w:jc w:val="both"/>
      </w:pPr>
      <w:r>
        <w:rPr>
          <w:rFonts w:ascii="Arial" w:cs="Arial" w:eastAsia="Arial" w:hAnsi="Arial"/>
          <w:color w:val="4A4A4A"/>
          <w:sz w:val="22"/>
          <w:szCs w:val="22"/>
        </w:rPr>
        <w:t xml:space="preserve">This package addresses the enabling conditions for all other packages. FATF greylisting exit — achieved on 24 October 2025 — removed South Africa from the FATF grey list, reducing correspondent banking friction and signalling improved institutional credibility to investors. This was the single most consequential governance win of the 2025 reform cycle, already reflected in narrowing sovereign spreads. The remaining agenda is to consolidate the gains: sustained AML/CFT implementation, SARS capacity expansion, procurement reform, and consequence management for state capture cases. Fiscal consolidation creates the headroom for infrastructure investment. SOE reform — not just Eskom but the full portfolio — reduces contingent liabilities. Without continued progress here, the other four packages will be partially implemented, poorly resourced, and chronically stalled.</w:t>
      </w:r>
    </w:p>
    <w:p>
      <w:pPr>
        <w:spacing w:after="120" w:before="80"/>
        <w:jc w:val="both"/>
      </w:pPr>
      <w:r>
        <w:rPr>
          <w:rFonts w:ascii="Arial" w:cs="Arial" w:eastAsia="Arial" w:hAnsi="Arial"/>
          <w:color w:val="4A4A4A"/>
          <w:sz w:val="22"/>
          <w:szCs w:val="22"/>
        </w:rPr>
        <w:t xml:space="preserve">The Chilean fiscal rule provides an international model: an independent fiscal council with a mandate to assess compliance with the structural balance rule, insulated from electoral budget cycles. South Africa's Medium-Term Expenditure Framework (MTEF) already embeds multi-year budgeting; the missing element is independent fiscal oversight with real teeth. The National Treasury PPP Unit reform — expanding private financing for infrastructure — provides the demand-side complement to the revenue reforms on the supply side.</w:t>
      </w:r>
    </w:p>
    <w:p>
      <w:pPr>
        <w:pStyle w:val="Heading3"/>
        <w:spacing w:after="80" w:before="200"/>
      </w:pPr>
      <w:r>
        <w:rPr>
          <w:rFonts w:ascii="Arial" w:cs="Arial" w:eastAsia="Arial" w:hAnsi="Arial"/>
          <w:b/>
          <w:bCs/>
          <w:color w:val="4A4A4A"/>
          <w:sz w:val="22"/>
          <w:szCs w:val="22"/>
        </w:rPr>
        <w:t xml:space="preserve">Top Priority Reforms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600"/>
        <w:gridCol w:w="1200"/>
        <w:gridCol w:w="14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Policy Idea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Committee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Status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Growth Impact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FATF Greylisting Exit — AML/CFT Implementation (Exit Achieved 24 October 2025)</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Standing Committee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Implemented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SARS Capacity Expansion and Revenue Recovery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Standing Committee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Part. Impl.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Fiscal Consolidation and Debt Stabilisation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Standing Committee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Treasury PPP Unit and Infrastructure Financing Reform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Standing Committee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Consequence Management and Anti-Corruption Enforcement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 Public Accounts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SOE Portfolio Rationalisation and Governance Reform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Standing Committee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NSFAS Fraud Prevention and Administration Overhaul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Higher Education &amp; Training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Under Review</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Procurement Reform — Open Contracting and Deviation Control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Finance / OCPO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Proposed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Detail</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Parliamentary Evidence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Finance Standing Committee BRRRs have consistently flagged irregular expenditure, procurement deviations, SOE contingent liabilities, and SARS revenue shortfalls. The Auditor-General's consolidated report (2024/25) found that irregular expenditure in the consolidated public sector exceeded R60bn annually. FATF greylisting (February 2023) was the most consequential external signal of governance failure; South Africa achieved FATF exit on 24 October 2025 — a significant milestone — but sustained AML/CFT implementation and monitoring is required to avoid future re-listing risk.</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Comparative Precedent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Chile's independent fiscal council (created 2013) has successfully anchored the structural balance rule through electoral cycles. Rwanda's Integrated Financial Management Information System (IFMIS) reduced procurement deviations by 40% within three years of implementation. Mauritius's 30-year trajectory of governance improvements — anti-corruption commission, independent judiciary, transparent public contracting — shows that small, open economies can build institutional credibility.</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Assessment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This package is uniquely self-financing: SARS capacity expansion has an estimated 10:1 return on investment (every R1bn invested in SARS capacity recovers R10bn in additional revenue). FATF exit reduces risk premia on sovereign borrowing. SOE governance reform reduces contingent liability growth. Procurement reform reduces leakage estimated at R30–50bn annually by the SIU. The package is the most fiscally attractive of the five in pure return terms.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Time Horizon &amp; Dependencies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Quick wins (0–6m): FATF legislative package completion, procurement deviation publication mandate, SARS risk engine expansion at ports. Medium-term (6–18m): PPP unit reform, SOE board governance standards, consequence management fast-lane for &gt;R50m cases. Long-term (18–36m): fiscal council establishment, full IFMIS rollout, SOE portfolio rationalisation. Enables: All other packages (by creating fiscal headroom and implementation capacity).</w:t>
            </w:r>
          </w:p>
        </w:tc>
      </w:tr>
    </w:tbl>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4. Implementation Sequencing</w:t>
      </w:r>
    </w:p>
    <w:p>
      <w:pPr>
        <w:spacing w:after="120" w:before="80"/>
        <w:jc w:val="both"/>
      </w:pPr>
      <w:r>
        <w:rPr>
          <w:rFonts w:ascii="Arial" w:cs="Arial" w:eastAsia="Arial" w:hAnsi="Arial"/>
          <w:color w:val="4A4A4A"/>
          <w:sz w:val="22"/>
          <w:szCs w:val="22"/>
        </w:rPr>
        <w:t xml:space="preserve">The five reform packages are operationalised across three implementation phases. The phase logic follows the fiscal guardrails established in the 2026 National Budget: Phase 1 must be fiscally neutral or savings-positive; Phase 2 is funded through reprioritisation and conditional grant reform; Phase 3 draws primarily on private capital through PPPs and blended finance. Of the 24 quick-win reforms identified in the database, the most consequential have already been delivered — FATF exit, spectrum auction, analogue switch-off, critical skills visa reform — reducing the Phase 1 implementation burden and shifting focus to Phase 2 institutional consolidation.</w:t>
      </w:r>
    </w:p>
    <w:p>
      <w:pPr>
        <w:pStyle w:val="Heading2"/>
        <w:spacing w:after="120" w:before="300"/>
      </w:pPr>
      <w:r>
        <w:rPr>
          <w:rFonts w:ascii="Arial" w:cs="Arial" w:eastAsia="Arial" w:hAnsi="Arial"/>
          <w:b/>
          <w:bCs/>
          <w:color w:val="000000"/>
          <w:sz w:val="26"/>
          <w:szCs w:val="26"/>
        </w:rPr>
        <w:t xml:space="preserve">Phase 1 (0–6 months): Administrative and Regulatory Quick Wins</w:t>
      </w:r>
    </w:p>
    <w:p>
      <w:pPr>
        <w:spacing w:after="120" w:before="80"/>
        <w:jc w:val="both"/>
      </w:pPr>
      <w:r>
        <w:rPr>
          <w:rFonts w:ascii="Arial" w:cs="Arial" w:eastAsia="Arial" w:hAnsi="Arial"/>
          <w:color w:val="4A4A4A"/>
          <w:sz w:val="22"/>
          <w:szCs w:val="22"/>
        </w:rPr>
        <w:t xml:space="preserve">Phase 1 comprises 24 reforms achievable through regulatory amendment, administrative action, or existing budgetary authority. These map directly to the BRRR Top 12 growth-priority actions. Their distinguishing feature is that they do not require new legislation, new spending, or new institutions — only political will and coordinated implementation. Several (spectrum, FATF, critical skills, rail White Paper) have been completed; the remaining Phase 1 items should be treated as priority completions in the current budget 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000"/>
        <w:gridCol w:w="1800"/>
        <w:gridCol w:w="17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Reform Action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Package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Lead Agency</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BRRR Top 12 Map</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SMME Regulatory Burden Reduction / BizPortal Integration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SMME &amp; Employment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DSBD / CIPC</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4 (Permits/Licences)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FATF AML/CFT Exit Consolidation — Monitoring and Compliance [Completed]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NT / FIC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12 (Revenue Admin)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SARS Revenue Recovery — Customs and Large Business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SARS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12 (Revenue Admin)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AGOA Diplomatic Retention Engagement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DTIC / DIRCO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NERSA Independence — Regulatory Capacity Ringfence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NERSA / DMRE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1 (Grid/Energy)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Critical Skills Visa Update and 30-Day Fast Lane [Completed]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DHA / DTIC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5 (Skills/Visas)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e-Visa System Full Rollout — Tourism and Business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DHA / Tourism</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5 (Visas/Tourism)</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90-Day Major Project Approval One-Stop-Shop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 / 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Presidency / DTIC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4 (Permits)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Procurement Deviation Monthly Publication Mandate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NT / OCPO</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7 (Procurement)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University Certification Backlog Elimination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DHET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SMME Ombud Service Operationalisation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SMME &amp; Employment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DSBD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Reading Crisis Declaration and Programme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DBE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Conditional Grant MIG/INEP Enforcement — Top 30 Municipalities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NT / CoGTA</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6 (Municipal Finance)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Market Inquiry Remedies Implementation (Competition Commission)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CompCom / DTIC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8 (Competition)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IMT Spectrum Auction — Operator Rollout Obligations Enforcement [Completed]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ICASA / DCDT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9 (Digital)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Analogue Switch-Off — Set-Top Box Access for Low-Income HH [Completed]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DCDT / SABC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9 (Digital)</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Rapid Deployment Policy Municipal Compliance [Completed]</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DCDT / SALGA</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9 (Digital)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Fuel Price Regulation Reform — Partial Deregulation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DMRE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IRP 2024 Gazetting — Private Investment Signal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DMRE / NERSA</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1 (Grid/Energy)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African Medicines Agency Treaty Ratification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DOH / DTIC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Anti-Dumping Surveillance Modernisation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ITAC / DTIC</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Rail Safety Regulator Independent Enforcement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DoT / RSR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3 (Logistics)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Water-Use Licence Online Portal — 90-Day Compliance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DWS / OV</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10 (Water)</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Rail Policy White Paper — Implementation Gazetting [Completed]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DoT / OV</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Action 3 (Logistics)</w:t>
            </w:r>
          </w:p>
        </w:tc>
      </w:tr>
    </w:tbl>
    <w:p>
      <w:pPr>
        <w:spacing w:before="120"/>
      </w:pPr>
    </w:p>
    <w:p>
      <w:pPr>
        <w:pStyle w:val="Heading2"/>
        <w:spacing w:after="120" w:before="300"/>
      </w:pPr>
      <w:r>
        <w:rPr>
          <w:rFonts w:ascii="Arial" w:cs="Arial" w:eastAsia="Arial" w:hAnsi="Arial"/>
          <w:b/>
          <w:bCs/>
          <w:color w:val="000000"/>
          <w:sz w:val="26"/>
          <w:szCs w:val="26"/>
        </w:rPr>
        <w:t xml:space="preserve">Phase 2 (6–18 months): Low-Cost Institutional Enablers</w:t>
      </w:r>
    </w:p>
    <w:p>
      <w:pPr>
        <w:spacing w:after="120" w:before="80"/>
        <w:jc w:val="both"/>
      </w:pPr>
      <w:r>
        <w:rPr>
          <w:rFonts w:ascii="Arial" w:cs="Arial" w:eastAsia="Arial" w:hAnsi="Arial"/>
          <w:color w:val="4A4A4A"/>
          <w:sz w:val="22"/>
          <w:szCs w:val="22"/>
        </w:rPr>
        <w:t xml:space="preserve">Phase 2 comprises 78 medium-term reforms requiring sustained institutional change but limited new capital. Funding comes from reprioritised conditional grants, administrative savings from Phase 1 procurement reforms, and SARS revenue recovery. Total public spend: R2–5bn, largely through reprioritisation.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000"/>
        <w:gridCol w:w="31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Priority Reform Area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Package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Fiscal Note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Electricity Regulation Amendment Act — Full Market Implementation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Regulatory; private capex leverage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Transmission Company Establishment and Capitalisation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R15–30bn blended (GEPF mandate + NT guarantee)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Transnet Port KPI Framework and Private Terminal Operations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SOE reprioritisation + private ops concession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APDP Phase 2 Enhancement — EV Transition Incentives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R5–10bn production incentive (5-yr)</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Critical Minerals Beneficiation Strategy — Framework</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Licensing reform; fiscally neutral short-term</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TVET Industry Partnership Programme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R2–4bn (reprioritised SETA levy)</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ECD Infrastructure Rollout Phase 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R3–5bn (Infrastructure grants)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PPP Unit Reform — Standardised Project Prep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R500m OpEx; high leverage (R1tn pipeline)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Non-Revenue Water Strike Teams — Top 20 Municipalities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R1–2bn (WSIG ringfence)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Employment Tax Incentive Extension and Enhancement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SMME &amp; Employment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Revenue cost R3–5bn; offset by employment gains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SOE Board Governance Standards and Consequence Management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Administrative; savings-positive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SEFA Blended Finance Facility for Township SMMEs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SMME &amp; Employment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R1–2bn (DFI blended)</w:t>
            </w:r>
          </w:p>
        </w:tc>
      </w:tr>
    </w:tbl>
    <w:p>
      <w:pPr>
        <w:spacing w:before="120"/>
      </w:pPr>
    </w:p>
    <w:p>
      <w:pPr>
        <w:pStyle w:val="Heading2"/>
        <w:spacing w:after="120" w:before="300"/>
      </w:pPr>
      <w:r>
        <w:rPr>
          <w:rFonts w:ascii="Arial" w:cs="Arial" w:eastAsia="Arial" w:hAnsi="Arial"/>
          <w:b/>
          <w:bCs/>
          <w:color w:val="000000"/>
          <w:sz w:val="26"/>
          <w:szCs w:val="26"/>
        </w:rPr>
        <w:t xml:space="preserve">Phase 3 (18–36 months): PPP-Heavy Structural Reforms</w:t>
      </w:r>
    </w:p>
    <w:p>
      <w:pPr>
        <w:spacing w:after="120" w:before="80"/>
        <w:jc w:val="both"/>
      </w:pPr>
      <w:r>
        <w:rPr>
          <w:rFonts w:ascii="Arial" w:cs="Arial" w:eastAsia="Arial" w:hAnsi="Arial"/>
          <w:color w:val="4A4A4A"/>
          <w:sz w:val="22"/>
          <w:szCs w:val="22"/>
        </w:rPr>
        <w:t xml:space="preserve">Phase 3 comprises 30 long-term reforms dependent on institutional foundations built in Phases 1 and 2. Public expenditure is limited; the primary financing mechanism is private and PPP capital, enabled by the governance and regulatory improvements of earlier phases. The R1 trillion infrastructure pipeline committed in the 2025 MTBPS requires this institutional foundation to be credible.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000"/>
        <w:gridCol w:w="31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Priority Reform Area</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Package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Fiscal/Financing Note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Eskom Full Unbundling — Distribution Entity Independence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SOE restructuring; contingent liability reduction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Renewable Energy Grid Integration — Transmission Expansion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R50–80bn (NTC + private; 5yr)</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Freight Rail Third-Party Access and Transnet Separation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Infrastructure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Private concessions; SOE revenue-neutral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Green Hydrogen Commercialisation — Commercial Scale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Private/DFI; export revenue upside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AfCFTA Full Operationalisation — Intra-African Trade Expansion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Trade &amp; Industrial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Trade facilitation; net positive on tax base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National Health Insurance — Primary Care Platform Phase 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R30–50bn (conditional on fiscal consolidation)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TVET Full Restructuring — Artisan Pipeline at Scale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Human Capital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R8–15bn (SETA levy + government)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Fiscal Council Establishment — Independent Oversight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R100m OpEx; borrowing cost saving</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SOE Portfolio Rationalisation — Non-Strategic Asset Disposal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State Capacity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Asset sale proceeds; contingent liability reduction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Urban Land Release for Affordable Housing — National Programme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SMME &amp; Employment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R5–10bn (Land Bank + municipalities)</w:t>
            </w:r>
          </w:p>
        </w:tc>
      </w:tr>
    </w:tbl>
    <w:p>
      <w:pPr>
        <w:spacing w:before="120"/>
      </w:pPr>
    </w:p>
    <w:p>
      <w:pPr>
        <w:pStyle w:val="Heading2"/>
        <w:spacing w:after="120" w:before="300"/>
      </w:pPr>
      <w:r>
        <w:rPr>
          <w:rFonts w:ascii="Arial" w:cs="Arial" w:eastAsia="Arial" w:hAnsi="Arial"/>
          <w:b/>
          <w:bCs/>
          <w:color w:val="000000"/>
          <w:sz w:val="26"/>
          <w:szCs w:val="26"/>
        </w:rPr>
        <w:t xml:space="preserve">Reform Dependency Map: What Unlocks What</w:t>
      </w:r>
    </w:p>
    <w:p>
      <w:pPr>
        <w:spacing w:after="120" w:before="80"/>
        <w:jc w:val="both"/>
      </w:pPr>
      <w:r>
        <w:rPr>
          <w:rFonts w:ascii="Arial" w:cs="Arial" w:eastAsia="Arial" w:hAnsi="Arial"/>
          <w:color w:val="4A4A4A"/>
          <w:sz w:val="22"/>
          <w:szCs w:val="22"/>
        </w:rPr>
        <w:t xml:space="preserve">The 59 identified reform dependencies reveal a structured sequencing logic. Key unlocking relationships are shown below, derived from the dependency graph of the 132-idea database.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600"/>
        <w:gridCol w:w="3960"/>
      </w:tblGrid>
      <w:tr>
        <w:tc>
          <w:tcPr>
            <w:tcBorders>
              <w:top w:val="single" w:color="CCCCCC" w:sz="1"/>
              <w:left w:val="single" w:color="CCCCCC" w:sz="1"/>
              <w:bottom w:val="single" w:color="CCCCCC" w:sz="1"/>
              <w:right w:val="single" w:color="CCCCCC" w:sz="1"/>
            </w:tcBorders>
            <w:shd w:fill="FFB612" w:val="clear"/>
            <w:tcMar>
              <w:top w:type="dxa" w:w="80"/>
              <w:left w:type="dxa" w:w="120"/>
              <w:bottom w:type="dxa" w:w="80"/>
              <w:right w:type="dxa" w:w="120"/>
            </w:tcMar>
          </w:tcPr>
          <w:p>
            <w:pPr>
              <w:jc w:val="center"/>
            </w:pPr>
            <w:r>
              <w:rPr>
                <w:rFonts w:ascii="Arial" w:cs="Arial" w:eastAsia="Arial" w:hAnsi="Arial"/>
                <w:b/>
                <w:bCs/>
                <w:color w:val="000000"/>
                <w:sz w:val="20"/>
                <w:szCs w:val="20"/>
              </w:rPr>
              <w:t xml:space="preserve">This Reform...</w:t>
            </w:r>
          </w:p>
        </w:tc>
        <w:tc>
          <w:tcPr>
            <w:tcBorders>
              <w:top w:val="single" w:color="CCCCCC" w:sz="1"/>
              <w:left w:val="single" w:color="CCCCCC" w:sz="1"/>
              <w:bottom w:val="single" w:color="CCCCCC" w:sz="1"/>
              <w:right w:val="single" w:color="CCCCCC" w:sz="1"/>
            </w:tcBorders>
            <w:shd w:fill="FFB612" w:val="clear"/>
            <w:tcMar>
              <w:top w:type="dxa" w:w="80"/>
              <w:left w:type="dxa" w:w="120"/>
              <w:bottom w:type="dxa" w:w="80"/>
              <w:right w:type="dxa" w:w="120"/>
            </w:tcMar>
          </w:tcPr>
          <w:p>
            <w:pPr>
              <w:jc w:val="center"/>
            </w:pPr>
            <w:r>
              <w:rPr>
                <w:rFonts w:ascii="Arial" w:cs="Arial" w:eastAsia="Arial" w:hAnsi="Arial"/>
                <w:b/>
                <w:bCs/>
                <w:color w:val="000000"/>
                <w:sz w:val="20"/>
                <w:szCs w:val="20"/>
              </w:rPr>
              <w:t xml:space="preserve">...Unlocks</w:t>
            </w:r>
          </w:p>
        </w:tc>
        <w:tc>
          <w:tcPr>
            <w:tcBorders>
              <w:top w:val="single" w:color="CCCCCC" w:sz="1"/>
              <w:left w:val="single" w:color="CCCCCC" w:sz="1"/>
              <w:bottom w:val="single" w:color="CCCCCC" w:sz="1"/>
              <w:right w:val="single" w:color="CCCCCC" w:sz="1"/>
            </w:tcBorders>
            <w:shd w:fill="FFB612" w:val="clear"/>
            <w:tcMar>
              <w:top w:type="dxa" w:w="80"/>
              <w:left w:type="dxa" w:w="120"/>
              <w:bottom w:type="dxa" w:w="80"/>
              <w:right w:type="dxa" w:w="120"/>
            </w:tcMar>
          </w:tcPr>
          <w:p>
            <w:pPr>
              <w:jc w:val="center"/>
            </w:pPr>
            <w:r>
              <w:rPr>
                <w:rFonts w:ascii="Arial" w:cs="Arial" w:eastAsia="Arial" w:hAnsi="Arial"/>
                <w:b/>
                <w:bCs/>
                <w:color w:val="000000"/>
                <w:sz w:val="20"/>
                <w:szCs w:val="20"/>
              </w:rPr>
              <w:t xml:space="preserve">This Reform</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SARS Revenue Recovery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Fiscal Consolidation and Debt Stabilisation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Consolidation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PPP Unit and Infrastructure Financing Reform</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FATF Greylisting Exit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Cooperative Bank Development + GEPF Infrastructure Mandate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PPP Infrastructure Finance Reform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GEPF Mandate Activation + Infrastructure Delivery Management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Eskom Unbundling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Competitive Electricity Market (ERA)</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Competitive Electricity Market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Industrial Energy Self-Generation at Scale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IRP 2024 Publication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Renewable Energy Grid Integration (investment signal)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NERSA Independence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Cost-Reflective Tariff Reform (rational pricing)</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Renewable Grid Expansion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Green Hydrogen Commercial Production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Renewable Grid Expansion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Energy Bounce-Back Programme (industrial self-gen)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Transnet Reform</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Port Productivity Improvement Programme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Critical Minerals Beneficiation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Steel Sector Inputs + Green Hydrogen Supply Chain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SEZs Reform</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R-CTFL Manufacturing Clusters + Critical Minerals Beneficiation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TVET Artisan Pipeline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Advanced Manufacturing Skills (EV, Solar, Green Hydrogen)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SETA Governance Reform</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TVET Funding Quality and Industry Relevance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4IR Digital Skills Pipeline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Advanced Manufacturing Skills for Energy Transition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Gas Amendment Bill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Integrated Energy Plan Gas Diversification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AfCFTA Implementation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Reduction of AGOA dependency risk (trade diversification)</w:t>
            </w:r>
          </w:p>
        </w:tc>
      </w:tr>
    </w:tbl>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5. The Recurring Failure Problem</w:t>
      </w:r>
    </w:p>
    <w:p>
      <w:pPr>
        <w:spacing w:after="120" w:before="80"/>
        <w:jc w:val="both"/>
      </w:pPr>
      <w:r>
        <w:rPr>
          <w:rFonts w:ascii="Arial" w:cs="Arial" w:eastAsia="Arial" w:hAnsi="Arial"/>
          <w:color w:val="4A4A4A"/>
          <w:sz w:val="22"/>
          <w:szCs w:val="22"/>
        </w:rPr>
        <w:t xml:space="preserve">The most striking finding from a decade of BRRR analysis is not what Parliament recommends — it is that Parliament recommends the same things, year after year. Budget execution, irregular expenditure, procurement irregularities, critical vacancies, energy security, service delivery backlogs — these themes appear in every annual cycle with minimal evidence of cumulative improvement. The binding constraint on South Africa's reform agenda is not policy design; it is implementation.</w:t>
      </w:r>
    </w:p>
    <w:p>
      <w:pPr>
        <w:pStyle w:val="Heading2"/>
        <w:spacing w:after="120" w:before="300"/>
      </w:pPr>
      <w:r>
        <w:rPr>
          <w:rFonts w:ascii="Arial" w:cs="Arial" w:eastAsia="Arial" w:hAnsi="Arial"/>
          <w:b/>
          <w:bCs/>
          <w:color w:val="000000"/>
          <w:sz w:val="26"/>
          <w:szCs w:val="26"/>
        </w:rPr>
        <w:t xml:space="preserve">The Evidence of Recurrence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1800"/>
        <w:gridCol w:w="1560"/>
        <w:gridCol w:w="260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Recurring Theme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Recommendations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Years Active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Characteristic Failure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Budget Execution and Underspending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522</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11/11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Departments fail to spend allocated budgets; reasons include vacancies, procurement delays, and poor project planning</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Unemployment and Job Creation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400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11/11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Employment programmes miss targets; ETI underspent; SETA training not linked to vacancies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Service Delivery Backlogs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348</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11/11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Infrastructure projects stalled; municipalities unable to spend grants; maintenance deferred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Procurement Irregularities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247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11/11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Deviations, expansions, and emergency procurement recur; consequence management absent</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Irregular and Wasteful Expenditure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221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11/11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Accounting officers not held accountable; recovery from responsible officials rare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Critical Vacancies — Capacity Constraints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231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11/11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Key technical and management posts vacant for years; moratoriums on filling posts imposed</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Energy Security and Load-Shedding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51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10/11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NERSA regulatory capacity, Eskom capital maintenance, and IPP programme delays recur</w:t>
            </w:r>
          </w:p>
        </w:tc>
      </w:tr>
    </w:tbl>
    <w:p>
      <w:pPr>
        <w:spacing w:before="120"/>
      </w:pPr>
    </w:p>
    <w:p>
      <w:pPr>
        <w:pStyle w:val="Heading2"/>
        <w:spacing w:after="120" w:before="300"/>
      </w:pPr>
      <w:r>
        <w:rPr>
          <w:rFonts w:ascii="Arial" w:cs="Arial" w:eastAsia="Arial" w:hAnsi="Arial"/>
          <w:b/>
          <w:bCs/>
          <w:color w:val="000000"/>
          <w:sz w:val="26"/>
          <w:szCs w:val="26"/>
        </w:rPr>
        <w:t xml:space="preserve">Why Implementation Fails</w:t>
      </w:r>
    </w:p>
    <w:p>
      <w:pPr>
        <w:spacing w:after="120" w:before="80"/>
        <w:jc w:val="both"/>
      </w:pPr>
      <w:r>
        <w:rPr>
          <w:rFonts w:ascii="Arial" w:cs="Arial" w:eastAsia="Arial" w:hAnsi="Arial"/>
          <w:color w:val="4A4A4A"/>
          <w:sz w:val="22"/>
          <w:szCs w:val="22"/>
        </w:rPr>
        <w:t xml:space="preserve">The BRRR evidence points to three systemic causes of recurrence. First, parliamentary recommendations are not legally binding: departments respond, acknowledge, and then fail to implement without consequence. The asymmetry between the political cost of resistance and the political cost of non-implementation makes drift rational for risk-averse officials. Second, capacity is too thin at the implementation level: procurement offices, project management units, and regulatory agencies are chronically understaffed relative to their mandates. Third, intergovernmental coordination fails: most large reforms require action by multiple spheres of government and multiple departments, and the absence of a single accountable implementing entity allows each to wait for the others.</w:t>
      </w:r>
    </w:p>
    <w:p>
      <w:pPr>
        <w:spacing w:after="120" w:before="80"/>
        <w:jc w:val="both"/>
      </w:pPr>
      <w:r>
        <w:rPr>
          <w:rFonts w:ascii="Arial" w:cs="Arial" w:eastAsia="Arial" w:hAnsi="Arial"/>
          <w:color w:val="4A4A4A"/>
          <w:sz w:val="22"/>
          <w:szCs w:val="22"/>
        </w:rPr>
        <w:t xml:space="preserve">The institutional reform required is not more recommendations — it is a fundamentally different accountability architecture. Quarterly progress reports to Parliament, individual accountability targets for accounting officers, and independent monitoring of key metrics are the minimum requirements. The Public Finance Management Act already provides the legal basis; what is missing is enforcement.</w:t>
      </w:r>
    </w:p>
    <w:p>
      <w:pPr>
        <w:pStyle w:val="Heading2"/>
        <w:spacing w:after="120" w:before="300"/>
      </w:pPr>
      <w:r>
        <w:rPr>
          <w:rFonts w:ascii="Arial" w:cs="Arial" w:eastAsia="Arial" w:hAnsi="Arial"/>
          <w:b/>
          <w:bCs/>
          <w:color w:val="000000"/>
          <w:sz w:val="26"/>
          <w:szCs w:val="26"/>
        </w:rPr>
        <w:t xml:space="preserve">Operation Vulindlela: The Most Effective Mechanism</w:t>
      </w:r>
    </w:p>
    <w:p>
      <w:pPr>
        <w:spacing w:after="120" w:before="80"/>
        <w:jc w:val="both"/>
      </w:pPr>
      <w:r>
        <w:rPr>
          <w:rFonts w:ascii="Arial" w:cs="Arial" w:eastAsia="Arial" w:hAnsi="Arial"/>
          <w:color w:val="4A4A4A"/>
          <w:sz w:val="22"/>
          <w:szCs w:val="22"/>
        </w:rPr>
        <w:t xml:space="preserve">Operation Vulindlela (OV), the joint Presidency-National Treasury reform unit established in August 2020, represents South Africa's most successful recent institutional innovation for breaking implementation gridlock. By separating reform coordination from line department management, OV has been able to drive progress on electricity self-generation licensing (licensing cap removed in 2021), visa reform (critical skills list updated and e-visa platform rolled out), spectrum allocation (IMT auction completed 2022), digital TV migration (analogue switch-off executed), the National Rail Policy White Paper (adopted 2024), and water use licence streamlining. By the SONA 2026 dashboard, OV had reached green status on over half its tracked reforms — a genuine track record by the standards of South African institutional performance.</w:t>
      </w:r>
    </w:p>
    <w:p>
      <w:pPr>
        <w:spacing w:after="120" w:before="80"/>
        <w:jc w:val="both"/>
      </w:pPr>
      <w:r>
        <w:rPr>
          <w:rFonts w:ascii="Arial" w:cs="Arial" w:eastAsia="Arial" w:hAnsi="Arial"/>
          <w:color w:val="4A4A4A"/>
          <w:sz w:val="22"/>
          <w:szCs w:val="22"/>
        </w:rPr>
        <w:t xml:space="preserve">OV's model works because it has three features that line departments lack: direct Presidency accountability (making it politically costly to stall), National Treasury fiscal leverage (linking compliance to conditional transfers), and a small, technically capable team that can identify specific blockages and apply targeted pressure. The implication is not that OV should do everything — its bandwidth is limited — but that its model should be scaled: more reform streams under OV coordination, stronger powers to compel compliance, and a public dashboard that creates external accountability pressure.</w:t>
      </w:r>
    </w:p>
    <w:p>
      <w:pPr>
        <w:spacing w:after="120" w:before="80"/>
        <w:jc w:val="both"/>
      </w:pPr>
      <w:r>
        <w:rPr>
          <w:rFonts w:ascii="Arial" w:cs="Arial" w:eastAsia="Arial" w:hAnsi="Arial"/>
          <w:color w:val="4A4A4A"/>
          <w:sz w:val="22"/>
          <w:szCs w:val="22"/>
        </w:rPr>
        <w:t xml:space="preserve">The remaining OV agenda maps onto the medium-term institutional enablers in Phase 2: water infrastructure (NWRIA establishment, raw water pricing reform), e-visa rollout completion, port concession finalisation, and National Transmission Company capitalisation. Extending OV's mandate to cover municipal water and sanitation infrastructure — where the implementation gap is now most acute — and provincial health turnarounds would add two high-leverage domains to its current portfolio.</w:t>
      </w:r>
    </w:p>
    <w:p>
      <w:pPr>
        <w:pStyle w:val="Heading2"/>
        <w:spacing w:after="120" w:before="300"/>
      </w:pPr>
      <w:r>
        <w:rPr>
          <w:rFonts w:ascii="Arial" w:cs="Arial" w:eastAsia="Arial" w:hAnsi="Arial"/>
          <w:b/>
          <w:bCs/>
          <w:color w:val="000000"/>
          <w:sz w:val="26"/>
          <w:szCs w:val="26"/>
        </w:rPr>
        <w:t xml:space="preserve">The Institutional Reform Inventory</w:t>
      </w:r>
    </w:p>
    <w:p>
      <w:pPr>
        <w:spacing w:after="120" w:before="80"/>
        <w:jc w:val="both"/>
      </w:pPr>
      <w:r>
        <w:rPr>
          <w:rFonts w:ascii="Arial" w:cs="Arial" w:eastAsia="Arial" w:hAnsi="Arial"/>
          <w:color w:val="4A4A4A"/>
          <w:sz w:val="22"/>
          <w:szCs w:val="22"/>
        </w:rPr>
        <w:t xml:space="preserve">Analysis of the 5,256 BRRR recommendations identifies the most commonly required institutional reforms: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800"/>
        <w:gridCol w:w="35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Institutional Reform Type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Recommendations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Key Actions Required</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Policy Framework Reform</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641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Update policy documents, issue binding guidelines, gazette new frameworks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Legislative Reform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518</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Amend or enact legislation; expedite tabling schedules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Systems and Technology</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403</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IFMIS rollout, digital permits, e-procurement platforms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Governance Reform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266</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Board appointments, accounting officer accountability, audit committee independence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Capacity Building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256</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Fill critical vacancies, skills development, institutional mentoring</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Process Reform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87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Simplify procedures, reduce approval layers, clarify mandates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Institutional Restructuring</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68</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Consolidate entities, separate regulatory from commercial functions</w:t>
            </w:r>
          </w:p>
        </w:tc>
      </w:tr>
    </w:tbl>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6. Fiscal Framework</w:t>
      </w:r>
    </w:p>
    <w:p>
      <w:pPr>
        <w:spacing w:after="120" w:before="80"/>
        <w:jc w:val="both"/>
      </w:pPr>
      <w:r>
        <w:rPr>
          <w:rFonts w:ascii="Arial" w:cs="Arial" w:eastAsia="Arial" w:hAnsi="Arial"/>
          <w:color w:val="4A4A4A"/>
          <w:sz w:val="22"/>
          <w:szCs w:val="22"/>
        </w:rPr>
        <w:t xml:space="preserve">The reform agenda must operate within the fiscal constraints established by the 2026 National Budget. South Africa's fiscal position has stabilised: two consecutive primary surpluses were achieved in 2024/25 and 2025/26, and gross debt-to-GDP has stabilised at approximately 78.9% — higher than earlier projections, but no longer on an upward trajectory. In November 2025, S&amp;P Global raised South Africa's credit rating for the first time in roughly 20 years, validating the consolidation effort. However, debt service continues to absorb over 20 cents of every revenue rand, and there is limited headroom for new expenditure commitments. The 2026 Budget proposed a 0.5 percentage point VAT increase (effective May 2025), but this measure was withdrawn on 24 April 2025 following opposition within the Government of National Unity; VAT remains at 15%. The phase structure of this framework is designed explicitly to respect these fiscal constraints while leveraging private capital and efficiency gains.</w:t>
      </w:r>
    </w:p>
    <w:p>
      <w:pPr>
        <w:pStyle w:val="Heading2"/>
        <w:spacing w:after="120" w:before="300"/>
      </w:pPr>
      <w:r>
        <w:rPr>
          <w:rFonts w:ascii="Arial" w:cs="Arial" w:eastAsia="Arial" w:hAnsi="Arial"/>
          <w:b/>
          <w:bCs/>
          <w:color w:val="000000"/>
          <w:sz w:val="26"/>
          <w:szCs w:val="26"/>
        </w:rPr>
        <w:t xml:space="preserve">2026 Budget Baseline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900"/>
        <w:gridCol w:w="39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Fiscal Indicator</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2024/25</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Trajectory / Note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Gross debt-to-GDP</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~78.9%</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Stabilising at ~78.9%; two consecutive primary surpluses (2024/25–2025/26); S&amp;P credit upgrade Nov 2025</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Budget deficit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~3.8% of GDP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Narrowing toward 2.5% by 2028/29 (2026 Budget projection)</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Primary balance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Positive (0.5% of GDP)</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Primary surplus maintained — a critical fiscal milestone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VAT increase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15% (unchanged)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Proposed +0.5 pp increase (to 15.5%) withdrawn 24 April 2025; VAT remains at 15%</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SARS revenue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Broadly on target</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SARS outperforming; no major revenue shortfall; collection technology investment ongoing</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Debt service cost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&gt;20c per revenue 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Single largest expenditure item; crowding out social and capital spending</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Infrastructure pipeline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R940bn (3-year)</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2026 Budget MTEF infrastructure allocation; blended financing required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4A4A4A"/>
                <w:sz w:val="20"/>
                <w:szCs w:val="20"/>
              </w:rPr>
              <w:t xml:space="preserve">Private energy commitment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~5,000 MW (pipeline)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Self-generation, REIPPP, and wheeling pipeline — enabled by ERA and regulatory reform</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bCs/>
                <w:color w:val="4A4A4A"/>
                <w:sz w:val="20"/>
                <w:szCs w:val="20"/>
              </w:rPr>
              <w:t xml:space="preserve">Fiscal rule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No formal fiscal council</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Gap: independent oversight of structural balance absent; proposal tabled but not enacted</w:t>
            </w:r>
          </w:p>
        </w:tc>
      </w:tr>
    </w:tbl>
    <w:p>
      <w:pPr>
        <w:spacing w:before="120"/>
      </w:pPr>
    </w:p>
    <w:p>
      <w:pPr>
        <w:pStyle w:val="Heading2"/>
        <w:spacing w:after="120" w:before="300"/>
      </w:pPr>
      <w:r>
        <w:rPr>
          <w:rFonts w:ascii="Arial" w:cs="Arial" w:eastAsia="Arial" w:hAnsi="Arial"/>
          <w:b/>
          <w:bCs/>
          <w:color w:val="000000"/>
          <w:sz w:val="26"/>
          <w:szCs w:val="26"/>
        </w:rPr>
        <w:t xml:space="preserve">Tier 1 vs Tier 2: The Priority Distinction</w:t>
      </w:r>
    </w:p>
    <w:p>
      <w:pPr>
        <w:spacing w:after="120" w:before="80"/>
        <w:jc w:val="both"/>
      </w:pPr>
      <w:r>
        <w:rPr>
          <w:rFonts w:ascii="Arial" w:cs="Arial" w:eastAsia="Arial" w:hAnsi="Arial"/>
          <w:color w:val="4A4A4A"/>
          <w:sz w:val="22"/>
          <w:szCs w:val="22"/>
        </w:rPr>
        <w:t xml:space="preserve">A critical design principle for the reform agenda is the distinction between Tier 1 reforms (those that are binding constraints on growth and must proceed regardless of fiscal cost, within the guardrails) and Tier 2 reforms (those that are growth-enhancing but not binding, and should be sequenced based on fiscal availability). This distinction is implicit in the MTBPS but is not made explicit in current policy documents.</w:t>
      </w:r>
    </w:p>
    <w:p>
      <w:pPr>
        <w:spacing w:after="120" w:before="80"/>
        <w:jc w:val="both"/>
      </w:pPr>
      <w:r>
        <w:rPr>
          <w:rFonts w:ascii="Arial" w:cs="Arial" w:eastAsia="Arial" w:hAnsi="Arial"/>
          <w:color w:val="4A4A4A"/>
          <w:sz w:val="22"/>
          <w:szCs w:val="22"/>
        </w:rPr>
        <w:t xml:space="preserve">Tier 1 reforms in this framework are: energy (ERA competitive market, IRP, NTC capitalisation), logistics (Transnet private participation), state capacity (FATF exit, SARS expansion, procurement reform), and the SMME red-tape removal package. These have the highest cross-sector growth multiplier and are the minimum necessary to prevent the growth trap deepening. Tier 2 reforms — green hydrogen commercial scale, NHI full implementation, AfCFTA full operationalisation — are growth-enhancing but can be sequenced once Tier 1 is underway.</w:t>
      </w:r>
    </w:p>
    <w:p>
      <w:pPr>
        <w:pStyle w:val="Heading2"/>
        <w:spacing w:after="120" w:before="300"/>
      </w:pPr>
      <w:r>
        <w:rPr>
          <w:rFonts w:ascii="Arial" w:cs="Arial" w:eastAsia="Arial" w:hAnsi="Arial"/>
          <w:b/>
          <w:bCs/>
          <w:color w:val="000000"/>
          <w:sz w:val="26"/>
          <w:szCs w:val="26"/>
        </w:rPr>
        <w:t xml:space="preserve">Phase Cost Profile vs. MTBPS Guardrails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000"/>
        <w:gridCol w:w="276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Phase</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 Horizon</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Estimated Cost</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Funding Source</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4A4A4A"/>
                <w:sz w:val="20"/>
                <w:szCs w:val="20"/>
              </w:rPr>
              <w:t xml:space="preserve">Phase 1</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0–6 months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R500m–R1.5bn</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Administrative reprioritisation; procurement savings; no new money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4A4A4A"/>
                <w:sz w:val="20"/>
                <w:szCs w:val="20"/>
              </w:rPr>
              <w:t xml:space="preserve">Phase 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6–18 months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R2–5bn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Reprioritised conditional grants (MIG/INEP/WSIG); SARS revenue gains</w:t>
            </w:r>
          </w:p>
        </w:tc>
      </w:tr>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4A4A4A"/>
                <w:sz w:val="20"/>
                <w:szCs w:val="20"/>
              </w:rPr>
              <w:t xml:space="preserve">Phase 3</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18–36 months</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R50–80bn (public); R300bn+ (private)</w:t>
            </w:r>
          </w:p>
        </w:tc>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PPPs, GEPF infrastructure mandate, REIPPP, blended DFI finance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4A4A4A"/>
                <w:sz w:val="20"/>
                <w:szCs w:val="20"/>
              </w:rPr>
              <w:t xml:space="preserve">Savings-Positive Measures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All phases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4A4A4A"/>
                <w:sz w:val="20"/>
                <w:szCs w:val="20"/>
              </w:rPr>
              <w:t xml:space="preserve">R30–70bn p.a.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4A4A4A"/>
                <w:sz w:val="20"/>
                <w:szCs w:val="20"/>
              </w:rPr>
              <w:t xml:space="preserve">SARS recovery (×10 ROI), procurement deviation reduction, SOE contingent liability reduction</w:t>
            </w:r>
          </w:p>
        </w:tc>
      </w:tr>
    </w:tbl>
    <w:p>
      <w:pPr>
        <w:spacing w:before="120"/>
      </w:pPr>
    </w:p>
    <w:p>
      <w:pPr>
        <w:spacing w:after="120" w:before="80"/>
        <w:jc w:val="both"/>
      </w:pPr>
      <w:r>
        <w:rPr>
          <w:rFonts w:ascii="Arial" w:cs="Arial" w:eastAsia="Arial" w:hAnsi="Arial"/>
          <w:color w:val="4A4A4A"/>
          <w:sz w:val="22"/>
          <w:szCs w:val="22"/>
        </w:rPr>
        <w:t xml:space="preserve">The reform agenda is not an argument for relaxing fiscal discipline — it is an argument that the path to fiscal sustainability runs through growth, and the path to growth runs through structural reform. Fiscal consolidation and reform acceleration are complements, not substitutes.</w:t>
      </w:r>
    </w:p>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7. Recent Developments (2025–2026)</w:t>
      </w:r>
    </w:p>
    <w:p>
      <w:pPr>
        <w:spacing w:after="120" w:before="80"/>
        <w:jc w:val="both"/>
      </w:pPr>
      <w:r>
        <w:rPr>
          <w:rFonts w:ascii="Arial" w:cs="Arial" w:eastAsia="Arial" w:hAnsi="Arial"/>
          <w:color w:val="4A4A4A"/>
          <w:sz w:val="22"/>
          <w:szCs w:val="22"/>
        </w:rPr>
        <w:t xml:space="preserve">The following developments, occurring between January 2025 and March 2026, update the analytical baseline described in the preceding sections. They are presented here to ensure the framework reflects the most current evidence; implications for reform sequencing are noted where the new data materially change the priority assessment.</w:t>
      </w:r>
    </w:p>
    <w:p>
      <w:pPr>
        <w:pStyle w:val="Heading2"/>
        <w:spacing w:after="120" w:before="300"/>
      </w:pPr>
      <w:r>
        <w:rPr>
          <w:rFonts w:ascii="Arial" w:cs="Arial" w:eastAsia="Arial" w:hAnsi="Arial"/>
          <w:b/>
          <w:bCs/>
          <w:color w:val="000000"/>
          <w:sz w:val="26"/>
          <w:szCs w:val="26"/>
        </w:rPr>
        <w:t xml:space="preserve">Fiscal and Monetary Stabilisation</w:t>
      </w:r>
    </w:p>
    <w:p>
      <w:pPr>
        <w:spacing w:after="120" w:before="80"/>
        <w:jc w:val="both"/>
      </w:pPr>
      <w:r>
        <w:rPr>
          <w:rFonts w:ascii="Arial" w:cs="Arial" w:eastAsia="Arial" w:hAnsi="Arial"/>
          <w:color w:val="4A4A4A"/>
          <w:sz w:val="22"/>
          <w:szCs w:val="22"/>
        </w:rPr>
        <w:t xml:space="preserve">South Africa achieved two consecutive primary budget surpluses (2024/25 and 2025/26), and gross debt-to-GDP stabilised at approximately 78.9% — higher than the sub-75% trajectory projected in earlier frameworks, but no longer on a rising path. In November 2025, S&amp;P Global raised South Africa's credit rating for the first time in roughly 20 years, reflecting improved fiscal management and restored institutional credibility. The upgrade narrowed sovereign spreads and modestly reduced the government's borrowing cost, creating marginal additional headroom within the fiscal framework.</w:t>
      </w:r>
    </w:p>
    <w:p>
      <w:pPr>
        <w:spacing w:after="120" w:before="80"/>
        <w:jc w:val="both"/>
      </w:pPr>
      <w:r>
        <w:rPr>
          <w:rFonts w:ascii="Arial" w:cs="Arial" w:eastAsia="Arial" w:hAnsi="Arial"/>
          <w:color w:val="4A4A4A"/>
          <w:sz w:val="22"/>
          <w:szCs w:val="22"/>
        </w:rPr>
        <w:t xml:space="preserve">The November 2025 MTBPS announced a historic change to the South African Reserve Bank's monetary policy framework: the inflation target shifted from the 3–6% band to 3% ± 1 percentage point. This tighter, symmetric target signals a commitment to structurally lower inflation and reduces the implicit tolerance for price instability that had characterised South African monetary policy for two decades. Lower and more predictable inflation, if sustained, reduces the risk premium embedded in long-term interest rates and supports private investment. The proposed 0.5 percentage point VAT increase included in the February 2026 Budget was withdrawn on 24 April 2025 following opposition within the GNU; VAT remains at 15%, and fiscal consolidation must rely on expenditure reprioritisation and SARS revenue recovery.</w:t>
      </w:r>
    </w:p>
    <w:p>
      <w:pPr>
        <w:pStyle w:val="Heading2"/>
        <w:spacing w:after="120" w:before="300"/>
      </w:pPr>
      <w:r>
        <w:rPr>
          <w:rFonts w:ascii="Arial" w:cs="Arial" w:eastAsia="Arial" w:hAnsi="Arial"/>
          <w:b/>
          <w:bCs/>
          <w:color w:val="000000"/>
          <w:sz w:val="26"/>
          <w:szCs w:val="26"/>
        </w:rPr>
        <w:t xml:space="preserve">Energy and Infrastructure</w:t>
      </w:r>
    </w:p>
    <w:p>
      <w:pPr>
        <w:spacing w:after="120" w:before="80"/>
        <w:jc w:val="both"/>
      </w:pPr>
      <w:r>
        <w:rPr>
          <w:rFonts w:ascii="Arial" w:cs="Arial" w:eastAsia="Arial" w:hAnsi="Arial"/>
          <w:color w:val="4A4A4A"/>
          <w:sz w:val="22"/>
          <w:szCs w:val="22"/>
        </w:rPr>
        <w:t xml:space="preserve">By early 2026, South Africa had recorded more than 300 consecutive days of no load-shedding — the most sustained period of grid stability since the crisis began in earnest. Eskom's energy availability factor recovered to approximately 69%, a dramatic improvement from the below-55% trough in 2022–23. Bid Window 7 of the REIPPP programme procured 3,940 MW of new renewable energy capacity, further deepening the independent power producer pipeline and providing the private investment signal that the energy reform package requires. ICASA's spectrum auction in September 2025 raised R14.4 billion for the fiscus, consistent with the digital infrastructure investment thesis in Package 1. Eskom's unbundling strategy was approved in December 2025 and the National Transmission Company of South Africa (NTCSA) was licensed as market operator, marking a significant step in the ERA competitive electricity market implementation.</w:t>
      </w:r>
    </w:p>
    <w:p>
      <w:pPr>
        <w:pStyle w:val="Heading2"/>
        <w:spacing w:after="120" w:before="300"/>
      </w:pPr>
      <w:r>
        <w:rPr>
          <w:rFonts w:ascii="Arial" w:cs="Arial" w:eastAsia="Arial" w:hAnsi="Arial"/>
          <w:b/>
          <w:bCs/>
          <w:color w:val="000000"/>
          <w:sz w:val="26"/>
          <w:szCs w:val="26"/>
        </w:rPr>
        <w:t xml:space="preserve">Logistics, Rail, and Trade</w:t>
      </w:r>
    </w:p>
    <w:p>
      <w:pPr>
        <w:spacing w:after="120" w:before="80"/>
        <w:jc w:val="both"/>
      </w:pPr>
      <w:r>
        <w:rPr>
          <w:rFonts w:ascii="Arial" w:cs="Arial" w:eastAsia="Arial" w:hAnsi="Arial"/>
          <w:color w:val="4A4A4A"/>
          <w:sz w:val="22"/>
          <w:szCs w:val="22"/>
        </w:rPr>
        <w:t xml:space="preserve">Under Operation Vulindlela Phase II, expanded to seven priority reform areas, 11 private rail operators were approved — the first tangible progress on third-party freight rail access since the National Rail Policy White Paper was adopted. This positions South Africa to begin operationalising the rail reform agenda that has been debated since 1994. The African Continental Free Trade Area (AfCFTA) tariff schedule became effective in January 2026, opening structured intra-African market access and reducing AGOA dependency risk on the trade diversification logic embedded in Package 4.</w:t>
      </w:r>
    </w:p>
    <w:p>
      <w:pPr>
        <w:spacing w:after="120" w:before="80"/>
        <w:jc w:val="both"/>
      </w:pPr>
      <w:r>
        <w:rPr>
          <w:rFonts w:ascii="Arial" w:cs="Arial" w:eastAsia="Arial" w:hAnsi="Arial"/>
          <w:color w:val="4A4A4A"/>
          <w:sz w:val="22"/>
          <w:szCs w:val="22"/>
        </w:rPr>
        <w:t xml:space="preserve">AGOA was extended by one year to December 2026, but the trade environment deteriorated sharply. US tariffs imposed in 2025, initially at 30% and subsequently reduced to 10%, combined with broader trade uncertainty to cause South African automotive exports to collapse by approximately 82% — a severe stress test for the APDP industrial policy model. This underscores the urgency of the export market diversification agenda and the AfCFTA operationalisation reforms in Package 4.</w:t>
      </w:r>
    </w:p>
    <w:p>
      <w:pPr>
        <w:pStyle w:val="Heading2"/>
        <w:spacing w:after="120" w:before="300"/>
      </w:pPr>
      <w:r>
        <w:rPr>
          <w:rFonts w:ascii="Arial" w:cs="Arial" w:eastAsia="Arial" w:hAnsi="Arial"/>
          <w:b/>
          <w:bCs/>
          <w:color w:val="000000"/>
          <w:sz w:val="26"/>
          <w:szCs w:val="26"/>
        </w:rPr>
        <w:t xml:space="preserve">Labour Market and Political Stability</w:t>
      </w:r>
    </w:p>
    <w:p>
      <w:pPr>
        <w:spacing w:after="120" w:before="80"/>
        <w:jc w:val="both"/>
      </w:pPr>
      <w:r>
        <w:rPr>
          <w:rFonts w:ascii="Arial" w:cs="Arial" w:eastAsia="Arial" w:hAnsi="Arial"/>
          <w:color w:val="4A4A4A"/>
          <w:sz w:val="22"/>
          <w:szCs w:val="22"/>
        </w:rPr>
        <w:t xml:space="preserve">The official unemployment rate fell to 31.4% in Q4 2025, down from 33.2% in Q2 2025, reflecting the partial labour market benefits of energy stabilisation, SMME activity, and the broader reform momentum. Youth unemployment remained structurally elevated at 58.5%. These figures are directionally encouraging but underscore that the 30%+ unemployment equilibrium requires sustained structural reform — not merely energy stabilisation — to break. The Government of National Unity maintained political cohesion through the period, providing a stable institutional backdrop for reform implementation and reducing the risk of the Scenario D deterioration pathway described in the concluding section.</w:t>
      </w:r>
    </w:p>
    <w:p>
      <w:r>
        <w:br w:type="page"/>
      </w:r>
    </w:p>
    <w:p>
      <w:pPr>
        <w:pStyle w:val="Heading1"/>
        <w:pBdr>
          <w:bottom w:val="single" w:color="007A4D" w:sz="8" w:space="4"/>
        </w:pBdr>
        <w:spacing w:after="160" w:before="400"/>
      </w:pPr>
      <w:r>
        <w:rPr>
          <w:rFonts w:ascii="Arial" w:cs="Arial" w:eastAsia="Arial" w:hAnsi="Arial"/>
          <w:b/>
          <w:bCs/>
          <w:color w:val="007A4D"/>
          <w:sz w:val="32"/>
          <w:szCs w:val="32"/>
        </w:rPr>
        <w:t xml:space="preserve">8. Conclusion: Four Scenarios for South Africa</w:t>
      </w:r>
    </w:p>
    <w:p>
      <w:pPr>
        <w:spacing w:after="120" w:before="80"/>
        <w:jc w:val="both"/>
      </w:pPr>
      <w:r>
        <w:rPr>
          <w:rFonts w:ascii="Arial" w:cs="Arial" w:eastAsia="Arial" w:hAnsi="Arial"/>
          <w:color w:val="4A4A4A"/>
          <w:sz w:val="22"/>
          <w:szCs w:val="22"/>
        </w:rPr>
        <w:t xml:space="preserve">South Africa's growth trajectory over the next decade is not predetermined. It will be determined by the scope, speed, and sustainability of the reforms undertaken in the next 18–36 months. The following four scenarios, drawn from the analytical framework and calibrated to the evidence base, represent the realistic range of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2880"/>
        <w:gridCol w:w="2880"/>
      </w:tblGrid>
      <w:tr>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Scenario</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GDP Growth</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Conditions</w:t>
            </w:r>
          </w:p>
        </w:tc>
        <w:tc>
          <w:tcPr>
            <w:tcBorders>
              <w:top w:val="single" w:color="CCCCCC" w:sz="1"/>
              <w:left w:val="single" w:color="CCCCCC" w:sz="1"/>
              <w:bottom w:val="single" w:color="CCCCCC" w:sz="1"/>
              <w:right w:val="single" w:color="CCCCCC" w:sz="1"/>
            </w:tcBorders>
            <w:shd w:fill="007A4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Unemployment Trajectory</w:t>
            </w:r>
          </w:p>
        </w:tc>
      </w:tr>
      <w:tr>
        <w:tc>
          <w:tcPr>
            <w:tcBorders>
              <w:top w:val="single" w:color="CCCCCC" w:sz="1"/>
              <w:left w:val="single" w:color="CCCCCC" w:sz="1"/>
              <w:bottom w:val="single" w:color="CCCCCC" w:sz="1"/>
              <w:right w:val="single" w:color="CCCCCC" w:sz="1"/>
            </w:tcBorders>
            <w:shd w:fill="00843D" w:val="clear"/>
            <w:tcMar>
              <w:top w:type="dxa" w:w="80"/>
              <w:left w:type="dxa" w:w="120"/>
              <w:bottom w:type="dxa" w:w="80"/>
              <w:right w:type="dxa" w:w="120"/>
            </w:tcMar>
          </w:tcPr>
          <w:p>
            <w:r>
              <w:rPr>
                <w:rFonts w:ascii="Arial" w:cs="Arial" w:eastAsia="Arial" w:hAnsi="Arial"/>
                <w:b/>
                <w:bCs/>
                <w:color w:val="FFFFFF"/>
                <w:sz w:val="20"/>
                <w:szCs w:val="20"/>
              </w:rPr>
              <w:t xml:space="preserve">Scenario A: Transformative Reform</w:t>
            </w:r>
          </w:p>
        </w:tc>
        <w:tc>
          <w:tcPr>
            <w:tcBorders>
              <w:top w:val="single" w:color="CCCCCC" w:sz="1"/>
              <w:left w:val="single" w:color="CCCCCC" w:sz="1"/>
              <w:bottom w:val="single" w:color="CCCCCC" w:sz="1"/>
              <w:right w:val="single" w:color="CCCCCC" w:sz="1"/>
            </w:tcBorders>
            <w:shd w:fill="00843D"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4–6% p.a.</w:t>
            </w:r>
          </w:p>
        </w:tc>
        <w:tc>
          <w:tcPr>
            <w:tcBorders>
              <w:top w:val="single" w:color="CCCCCC" w:sz="1"/>
              <w:left w:val="single" w:color="CCCCCC" w:sz="1"/>
              <w:bottom w:val="single" w:color="CCCCCC" w:sz="1"/>
              <w:right w:val="single" w:color="CCCCCC" w:sz="1"/>
            </w:tcBorders>
            <w:shd w:fill="00843D" w:val="clear"/>
            <w:tcMar>
              <w:top w:type="dxa" w:w="80"/>
              <w:left w:type="dxa" w:w="120"/>
              <w:bottom w:type="dxa" w:w="80"/>
              <w:right w:type="dxa" w:w="120"/>
            </w:tcMar>
          </w:tcPr>
          <w:p>
            <w:r>
              <w:rPr>
                <w:rFonts w:ascii="Arial" w:cs="Arial" w:eastAsia="Arial" w:hAnsi="Arial"/>
                <w:color w:val="FFFFFF"/>
                <w:sz w:val="20"/>
                <w:szCs w:val="20"/>
              </w:rPr>
              <w:t xml:space="preserve">All 5 packages implemented simultaneously; Phases 1–3 executed on schedule; private investment surge; FATF exit consolidated (achieved 24 October 2025); load-shedding sustained at zero; water and logistics reforms fully implemented by 2028</w:t>
            </w:r>
          </w:p>
        </w:tc>
        <w:tc>
          <w:tcPr>
            <w:tcBorders>
              <w:top w:val="single" w:color="CCCCCC" w:sz="1"/>
              <w:left w:val="single" w:color="CCCCCC" w:sz="1"/>
              <w:bottom w:val="single" w:color="CCCCCC" w:sz="1"/>
              <w:right w:val="single" w:color="CCCCCC" w:sz="1"/>
            </w:tcBorders>
            <w:shd w:fill="00843D" w:val="clear"/>
            <w:tcMar>
              <w:top w:type="dxa" w:w="80"/>
              <w:left w:type="dxa" w:w="120"/>
              <w:bottom w:type="dxa" w:w="80"/>
              <w:right w:type="dxa" w:w="120"/>
            </w:tcMar>
          </w:tcPr>
          <w:p>
            <w:r>
              <w:rPr>
                <w:rFonts w:ascii="Arial" w:cs="Arial" w:eastAsia="Arial" w:hAnsi="Arial"/>
                <w:color w:val="FFFFFF"/>
                <w:sz w:val="20"/>
                <w:szCs w:val="20"/>
              </w:rPr>
              <w:t xml:space="preserve">Unemployment falls to below 25% (official) by 2030; 1.5–2m formal jobs created</w:t>
            </w:r>
          </w:p>
        </w:tc>
      </w:tr>
      <w:tr>
        <w:tc>
          <w:tcPr>
            <w:tcBorders>
              <w:top w:val="single" w:color="CCCCCC" w:sz="1"/>
              <w:left w:val="single" w:color="CCCCCC" w:sz="1"/>
              <w:bottom w:val="single" w:color="CCCCCC" w:sz="1"/>
              <w:right w:val="single" w:color="CCCCCC" w:sz="1"/>
            </w:tcBorders>
            <w:shd w:fill="5B8F22" w:val="clear"/>
            <w:tcMar>
              <w:top w:type="dxa" w:w="80"/>
              <w:left w:type="dxa" w:w="120"/>
              <w:bottom w:type="dxa" w:w="80"/>
              <w:right w:type="dxa" w:w="120"/>
            </w:tcMar>
          </w:tcPr>
          <w:p>
            <w:r>
              <w:rPr>
                <w:rFonts w:ascii="Arial" w:cs="Arial" w:eastAsia="Arial" w:hAnsi="Arial"/>
                <w:b/>
                <w:bCs/>
                <w:color w:val="FFFFFF"/>
                <w:sz w:val="20"/>
                <w:szCs w:val="20"/>
              </w:rPr>
              <w:t xml:space="preserve">Scenario B: Reform Momentum</w:t>
            </w:r>
          </w:p>
        </w:tc>
        <w:tc>
          <w:tcPr>
            <w:tcBorders>
              <w:top w:val="single" w:color="CCCCCC" w:sz="1"/>
              <w:left w:val="single" w:color="CCCCCC" w:sz="1"/>
              <w:bottom w:val="single" w:color="CCCCCC" w:sz="1"/>
              <w:right w:val="single" w:color="CCCCCC" w:sz="1"/>
            </w:tcBorders>
            <w:shd w:fill="5B8F2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3–4% p.a.</w:t>
            </w:r>
          </w:p>
        </w:tc>
        <w:tc>
          <w:tcPr>
            <w:tcBorders>
              <w:top w:val="single" w:color="CCCCCC" w:sz="1"/>
              <w:left w:val="single" w:color="CCCCCC" w:sz="1"/>
              <w:bottom w:val="single" w:color="CCCCCC" w:sz="1"/>
              <w:right w:val="single" w:color="CCCCCC" w:sz="1"/>
            </w:tcBorders>
            <w:shd w:fill="5B8F22" w:val="clear"/>
            <w:tcMar>
              <w:top w:type="dxa" w:w="80"/>
              <w:left w:type="dxa" w:w="120"/>
              <w:bottom w:type="dxa" w:w="80"/>
              <w:right w:type="dxa" w:w="120"/>
            </w:tcMar>
          </w:tcPr>
          <w:p>
            <w:r>
              <w:rPr>
                <w:rFonts w:ascii="Arial" w:cs="Arial" w:eastAsia="Arial" w:hAnsi="Arial"/>
                <w:color w:val="FFFFFF"/>
                <w:sz w:val="20"/>
                <w:szCs w:val="20"/>
              </w:rPr>
              <w:t xml:space="preserve">Infrastructure and governance packages succeed; human capital and trade packages partially stall; energy resolved 2027–28; GNU cohesion maintained</w:t>
            </w:r>
          </w:p>
        </w:tc>
        <w:tc>
          <w:tcPr>
            <w:tcBorders>
              <w:top w:val="single" w:color="CCCCCC" w:sz="1"/>
              <w:left w:val="single" w:color="CCCCCC" w:sz="1"/>
              <w:bottom w:val="single" w:color="CCCCCC" w:sz="1"/>
              <w:right w:val="single" w:color="CCCCCC" w:sz="1"/>
            </w:tcBorders>
            <w:shd w:fill="5B8F22" w:val="clear"/>
            <w:tcMar>
              <w:top w:type="dxa" w:w="80"/>
              <w:left w:type="dxa" w:w="120"/>
              <w:bottom w:type="dxa" w:w="80"/>
              <w:right w:type="dxa" w:w="120"/>
            </w:tcMar>
          </w:tcPr>
          <w:p>
            <w:r>
              <w:rPr>
                <w:rFonts w:ascii="Arial" w:cs="Arial" w:eastAsia="Arial" w:hAnsi="Arial"/>
                <w:color w:val="FFFFFF"/>
                <w:sz w:val="20"/>
                <w:szCs w:val="20"/>
              </w:rPr>
              <w:t xml:space="preserve">Unemployment stabilises at 28–30% (official); moderate formal job creation; youth unemployment remains high</w:t>
            </w:r>
          </w:p>
        </w:tc>
      </w:tr>
      <w:tr>
        <w:tc>
          <w:tcPr>
            <w:tcBorders>
              <w:top w:val="single" w:color="CCCCCC" w:sz="1"/>
              <w:left w:val="single" w:color="CCCCCC" w:sz="1"/>
              <w:bottom w:val="single" w:color="CCCCCC" w:sz="1"/>
              <w:right w:val="single" w:color="CCCCCC" w:sz="1"/>
            </w:tcBorders>
            <w:shd w:fill="C17A00" w:val="clear"/>
            <w:tcMar>
              <w:top w:type="dxa" w:w="80"/>
              <w:left w:type="dxa" w:w="120"/>
              <w:bottom w:type="dxa" w:w="80"/>
              <w:right w:type="dxa" w:w="120"/>
            </w:tcMar>
          </w:tcPr>
          <w:p>
            <w:r>
              <w:rPr>
                <w:rFonts w:ascii="Arial" w:cs="Arial" w:eastAsia="Arial" w:hAnsi="Arial"/>
                <w:b/>
                <w:bCs/>
                <w:color w:val="000000"/>
                <w:sz w:val="20"/>
                <w:szCs w:val="20"/>
              </w:rPr>
              <w:t xml:space="preserve">Scenario C: Muddling Through</w:t>
            </w:r>
          </w:p>
        </w:tc>
        <w:tc>
          <w:tcPr>
            <w:tcBorders>
              <w:top w:val="single" w:color="CCCCCC" w:sz="1"/>
              <w:left w:val="single" w:color="CCCCCC" w:sz="1"/>
              <w:bottom w:val="single" w:color="CCCCCC" w:sz="1"/>
              <w:right w:val="single" w:color="CCCCCC" w:sz="1"/>
            </w:tcBorders>
            <w:shd w:fill="C17A00" w:val="clear"/>
            <w:tcMar>
              <w:top w:type="dxa" w:w="80"/>
              <w:left w:type="dxa" w:w="120"/>
              <w:bottom w:type="dxa" w:w="80"/>
              <w:right w:type="dxa" w:w="120"/>
            </w:tcMar>
          </w:tcPr>
          <w:p>
            <w:pPr>
              <w:jc w:val="center"/>
            </w:pPr>
            <w:r>
              <w:rPr>
                <w:rFonts w:ascii="Arial" w:cs="Arial" w:eastAsia="Arial" w:hAnsi="Arial"/>
                <w:b/>
                <w:bCs/>
                <w:color w:val="000000"/>
                <w:sz w:val="20"/>
                <w:szCs w:val="20"/>
              </w:rPr>
              <w:t xml:space="preserve">1–2% p.a.</w:t>
            </w:r>
          </w:p>
        </w:tc>
        <w:tc>
          <w:tcPr>
            <w:tcBorders>
              <w:top w:val="single" w:color="CCCCCC" w:sz="1"/>
              <w:left w:val="single" w:color="CCCCCC" w:sz="1"/>
              <w:bottom w:val="single" w:color="CCCCCC" w:sz="1"/>
              <w:right w:val="single" w:color="CCCCCC" w:sz="1"/>
            </w:tcBorders>
            <w:shd w:fill="C17A00" w:val="clear"/>
            <w:tcMar>
              <w:top w:type="dxa" w:w="80"/>
              <w:left w:type="dxa" w:w="120"/>
              <w:bottom w:type="dxa" w:w="80"/>
              <w:right w:type="dxa" w:w="120"/>
            </w:tcMar>
          </w:tcPr>
          <w:p>
            <w:r>
              <w:rPr>
                <w:rFonts w:ascii="Arial" w:cs="Arial" w:eastAsia="Arial" w:hAnsi="Arial"/>
                <w:color w:val="000000"/>
                <w:sz w:val="20"/>
                <w:szCs w:val="20"/>
              </w:rPr>
              <w:t xml:space="preserve">Piecemeal reforms; energy partially stabilised; logistics and governance stalled; GNU fractures; BRRR recommendations continue to accumulate without implementation</w:t>
            </w:r>
          </w:p>
        </w:tc>
        <w:tc>
          <w:tcPr>
            <w:tcBorders>
              <w:top w:val="single" w:color="CCCCCC" w:sz="1"/>
              <w:left w:val="single" w:color="CCCCCC" w:sz="1"/>
              <w:bottom w:val="single" w:color="CCCCCC" w:sz="1"/>
              <w:right w:val="single" w:color="CCCCCC" w:sz="1"/>
            </w:tcBorders>
            <w:shd w:fill="C17A00" w:val="clear"/>
            <w:tcMar>
              <w:top w:type="dxa" w:w="80"/>
              <w:left w:type="dxa" w:w="120"/>
              <w:bottom w:type="dxa" w:w="80"/>
              <w:right w:type="dxa" w:w="120"/>
            </w:tcMar>
          </w:tcPr>
          <w:p>
            <w:r>
              <w:rPr>
                <w:rFonts w:ascii="Arial" w:cs="Arial" w:eastAsia="Arial" w:hAnsi="Arial"/>
                <w:color w:val="000000"/>
                <w:sz w:val="20"/>
                <w:szCs w:val="20"/>
              </w:rPr>
              <w:t xml:space="preserve">Unemployment remains above 30% (official); demographic pressure worsens relative to job creation; social grant dependency deepens</w:t>
            </w:r>
          </w:p>
        </w:tc>
      </w:tr>
      <w:tr>
        <w:tc>
          <w:tcPr>
            <w:tcBorders>
              <w:top w:val="single" w:color="CCCCCC" w:sz="1"/>
              <w:left w:val="single" w:color="CCCCCC" w:sz="1"/>
              <w:bottom w:val="single" w:color="CCCCCC" w:sz="1"/>
              <w:right w:val="single" w:color="CCCCCC" w:sz="1"/>
            </w:tcBorders>
            <w:shd w:fill="DE3831" w:val="clear"/>
            <w:tcMar>
              <w:top w:type="dxa" w:w="80"/>
              <w:left w:type="dxa" w:w="120"/>
              <w:bottom w:type="dxa" w:w="80"/>
              <w:right w:type="dxa" w:w="120"/>
            </w:tcMar>
          </w:tcPr>
          <w:p>
            <w:r>
              <w:rPr>
                <w:rFonts w:ascii="Arial" w:cs="Arial" w:eastAsia="Arial" w:hAnsi="Arial"/>
                <w:b/>
                <w:bCs/>
                <w:color w:val="FFFFFF"/>
                <w:sz w:val="20"/>
                <w:szCs w:val="20"/>
              </w:rPr>
              <w:t xml:space="preserve">Scenario D: Deterioration</w:t>
            </w:r>
          </w:p>
        </w:tc>
        <w:tc>
          <w:tcPr>
            <w:tcBorders>
              <w:top w:val="single" w:color="CCCCCC" w:sz="1"/>
              <w:left w:val="single" w:color="CCCCCC" w:sz="1"/>
              <w:bottom w:val="single" w:color="CCCCCC" w:sz="1"/>
              <w:right w:val="single" w:color="CCCCCC" w:sz="1"/>
            </w:tcBorders>
            <w:shd w:fill="DE383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0–1% p.a.</w:t>
            </w:r>
          </w:p>
        </w:tc>
        <w:tc>
          <w:tcPr>
            <w:tcBorders>
              <w:top w:val="single" w:color="CCCCCC" w:sz="1"/>
              <w:left w:val="single" w:color="CCCCCC" w:sz="1"/>
              <w:bottom w:val="single" w:color="CCCCCC" w:sz="1"/>
              <w:right w:val="single" w:color="CCCCCC" w:sz="1"/>
            </w:tcBorders>
            <w:shd w:fill="DE3831" w:val="clear"/>
            <w:tcMar>
              <w:top w:type="dxa" w:w="80"/>
              <w:left w:type="dxa" w:w="120"/>
              <w:bottom w:type="dxa" w:w="80"/>
              <w:right w:type="dxa" w:w="120"/>
            </w:tcMar>
          </w:tcPr>
          <w:p>
            <w:r>
              <w:rPr>
                <w:rFonts w:ascii="Arial" w:cs="Arial" w:eastAsia="Arial" w:hAnsi="Arial"/>
                <w:color w:val="FFFFFF"/>
                <w:sz w:val="20"/>
                <w:szCs w:val="20"/>
              </w:rPr>
              <w:t xml:space="preserve">GNU collapse; policy paralysis; load-shedding returns to 2023 levels; FATF re-greylisting risk (2025 exit reversal); debt trajectory reverses; investor confidence collapses</w:t>
            </w:r>
          </w:p>
        </w:tc>
        <w:tc>
          <w:tcPr>
            <w:tcBorders>
              <w:top w:val="single" w:color="CCCCCC" w:sz="1"/>
              <w:left w:val="single" w:color="CCCCCC" w:sz="1"/>
              <w:bottom w:val="single" w:color="CCCCCC" w:sz="1"/>
              <w:right w:val="single" w:color="CCCCCC" w:sz="1"/>
            </w:tcBorders>
            <w:shd w:fill="DE3831" w:val="clear"/>
            <w:tcMar>
              <w:top w:type="dxa" w:w="80"/>
              <w:left w:type="dxa" w:w="120"/>
              <w:bottom w:type="dxa" w:w="80"/>
              <w:right w:type="dxa" w:w="120"/>
            </w:tcMar>
          </w:tcPr>
          <w:p>
            <w:r>
              <w:rPr>
                <w:rFonts w:ascii="Arial" w:cs="Arial" w:eastAsia="Arial" w:hAnsi="Arial"/>
                <w:color w:val="FFFFFF"/>
                <w:sz w:val="20"/>
                <w:szCs w:val="20"/>
              </w:rPr>
              <w:t xml:space="preserve">Unemployment rises above 35% (official); social instability increases; fiscal crisis forces emergency adjustment</w:t>
            </w:r>
          </w:p>
        </w:tc>
      </w:tr>
    </w:tbl>
    <w:p>
      <w:pPr>
        <w:spacing w:before="160"/>
      </w:pPr>
    </w:p>
    <w:p>
      <w:pPr>
        <w:pStyle w:val="Heading2"/>
        <w:spacing w:after="120" w:before="300"/>
      </w:pPr>
      <w:r>
        <w:rPr>
          <w:rFonts w:ascii="Arial" w:cs="Arial" w:eastAsia="Arial" w:hAnsi="Arial"/>
          <w:b/>
          <w:bCs/>
          <w:color w:val="000000"/>
          <w:sz w:val="26"/>
          <w:szCs w:val="26"/>
        </w:rPr>
        <w:t xml:space="preserve">What Determines the Path</w:t>
      </w:r>
    </w:p>
    <w:p>
      <w:pPr>
        <w:spacing w:after="120" w:before="80"/>
        <w:jc w:val="both"/>
      </w:pPr>
      <w:r>
        <w:rPr>
          <w:rFonts w:ascii="Arial" w:cs="Arial" w:eastAsia="Arial" w:hAnsi="Arial"/>
          <w:color w:val="4A4A4A"/>
          <w:sz w:val="22"/>
          <w:szCs w:val="22"/>
        </w:rPr>
        <w:t xml:space="preserve">The difference between Scenario A and Scenario C is not the quality of policy design — South Africa already has more than enough reform proposals. The difference is institutional: whether the reform infrastructure exists to move from legislation to implementation, from recommendation to accountability, from strategy to outcome.</w:t>
      </w:r>
    </w:p>
    <w:p>
      <w:pPr>
        <w:spacing w:after="120" w:before="80"/>
        <w:jc w:val="both"/>
      </w:pPr>
      <w:r>
        <w:rPr>
          <w:rFonts w:ascii="Arial" w:cs="Arial" w:eastAsia="Arial" w:hAnsi="Arial"/>
          <w:color w:val="4A4A4A"/>
          <w:sz w:val="22"/>
          <w:szCs w:val="22"/>
        </w:rPr>
        <w:t xml:space="preserve">Three variables will determine which scenario materialises:</w:t>
      </w:r>
    </w:p>
    <w:p>
      <w:pPr>
        <w:pStyle w:val="ListParagraph"/>
        <w:numPr>
          <w:ilvl w:val="0"/>
          <w:numId w:val="2"/>
        </w:numPr>
        <w:spacing w:after="40" w:before="40"/>
      </w:pPr>
      <w:r>
        <w:rPr>
          <w:rFonts w:ascii="Arial" w:cs="Arial" w:eastAsia="Arial" w:hAnsi="Arial"/>
          <w:color w:val="4A4A4A"/>
          <w:sz w:val="22"/>
          <w:szCs w:val="22"/>
        </w:rPr>
        <w:t xml:space="preserve">GNU cohesion and political will: The Government of National Unity creates a political window for structural reform. The window is not guaranteed — it requires active management, including the sequencing of politically costly reforms alongside visible quick wins that build public confidence.</w:t>
      </w:r>
    </w:p>
    <w:p>
      <w:pPr>
        <w:pStyle w:val="ListParagraph"/>
        <w:numPr>
          <w:ilvl w:val="0"/>
          <w:numId w:val="2"/>
        </w:numPr>
        <w:spacing w:after="40" w:before="40"/>
      </w:pPr>
      <w:r>
        <w:rPr>
          <w:rFonts w:ascii="Arial" w:cs="Arial" w:eastAsia="Arial" w:hAnsi="Arial"/>
          <w:color w:val="4A4A4A"/>
          <w:sz w:val="22"/>
          <w:szCs w:val="22"/>
        </w:rPr>
        <w:t xml:space="preserve">Operation Vulindlela's mandate and capacity: OV has proven that the implementation gridlock can be broken when accountability is concentrated and politically backed. Expanding its mandate to cover all five reform packages — with public dashboards, quarterly parliamentary reporting, and real consequence for stalling — would be the single most leverage-efficient institutional investment.</w:t>
      </w:r>
    </w:p>
    <w:p>
      <w:pPr>
        <w:pStyle w:val="ListParagraph"/>
        <w:numPr>
          <w:ilvl w:val="0"/>
          <w:numId w:val="2"/>
        </w:numPr>
        <w:spacing w:after="40" w:before="40"/>
      </w:pPr>
      <w:r>
        <w:rPr>
          <w:rFonts w:ascii="Arial" w:cs="Arial" w:eastAsia="Arial" w:hAnsi="Arial"/>
          <w:color w:val="4A4A4A"/>
          <w:sz w:val="22"/>
          <w:szCs w:val="22"/>
        </w:rPr>
        <w:t xml:space="preserve">Fiscal credibility: The primary surplus must be maintained, and the R1 trillion infrastructure pipeline must attract private finance. Both require FATF exit, procurement reform, and the regulatory certainty that the Phase 1 quick wins are designed to deliver. Fiscal credibility is not separate from growth — it is a prerequisite for the private investment that growth requires.</w:t>
      </w:r>
    </w:p>
    <w:p>
      <w:pPr>
        <w:spacing w:before="160"/>
      </w:pPr>
    </w:p>
    <w:p>
      <w:pPr>
        <w:spacing w:after="120" w:before="120"/>
        <w:jc w:val="both"/>
      </w:pPr>
      <w:r>
        <w:rPr>
          <w:rFonts w:ascii="Arial" w:cs="Arial" w:eastAsia="Arial" w:hAnsi="Arial"/>
          <w:i/>
          <w:iCs/>
          <w:color w:val="4A4A4A"/>
          <w:sz w:val="22"/>
          <w:szCs w:val="22"/>
        </w:rPr>
        <w:t xml:space="preserve">The question South Africa faces is not whether these reforms are technically achievable — they are. The question is whether the institutional and political architecture can translate design into delivery. On that question, the decade of parliamentary evidence offers a sobering but not hopeless verdict: South Africa knows what to do; the challenge is doing it.</w:t>
      </w:r>
    </w:p>
    <w:p>
      <w:pPr>
        <w:spacing w:before="160"/>
      </w:pPr>
    </w:p>
    <w:p>
      <w:pPr>
        <w:pBdr>
          <w:top w:val="single" w:color="FFB612" w:sz="6" w:space="6"/>
        </w:pBdr>
        <w:spacing w:after="80" w:before="0"/>
      </w:pPr>
    </w:p>
    <w:p>
      <w:pPr>
        <w:spacing w:after="40" w:before="0"/>
        <w:jc w:val="both"/>
      </w:pPr>
      <w:r>
        <w:rPr>
          <w:rFonts w:ascii="Arial" w:cs="Arial" w:eastAsia="Arial" w:hAnsi="Arial"/>
          <w:i/>
          <w:iCs/>
          <w:color w:val="4A4A4A"/>
          <w:sz w:val="16"/>
          <w:szCs w:val="16"/>
        </w:rPr>
        <w:t xml:space="preserve">Data sources: 5,256 BRRR recommendations (PMG archives, 2015–2025) | 132 policy ideas database (policy_space, March 2026) | 2026 National Budget (National Treasury, February 2026) | PIRLS 2021 | Transnet and Eskom annual reports | Operation Vulindlela SONA 2026 dashboard | Competition Commission inquiry reports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A4D" w:sz="4" w:space="4"/>
      </w:pBdr>
      <w:tabs>
        <w:tab w:val="right" w:pos="9026"/>
      </w:tabs>
    </w:pPr>
    <w:r>
      <w:rPr>
        <w:rFonts w:ascii="Arial" w:cs="Arial" w:eastAsia="Arial" w:hAnsi="Arial"/>
        <w:color w:val="4A4A4A"/>
        <w:sz w:val="16"/>
        <w:szCs w:val="16"/>
      </w:rPr>
      <w:t xml:space="preserve">Policy Space Analysis — NYU Wagner / SA Economic Reform Project</w:t>
    </w:r>
    <w:r>
      <w:rPr>
        <w:rFonts w:ascii="Arial" w:cs="Arial" w:eastAsia="Arial" w:hAnsi="Arial"/>
      </w:rPr>
      <w:t xml:space="preserve">	</w:t>
    </w:r>
    <w:r>
      <w:rPr>
        <w:rFonts w:ascii="Arial" w:cs="Arial" w:eastAsia="Arial" w:hAnsi="Arial"/>
        <w:color w:val="4A4A4A"/>
        <w:sz w:val="16"/>
        <w:szCs w:val="16"/>
      </w:rPr>
      <w:t xml:space="preserve">Page </w:t>
    </w:r>
    <w:r>
      <w:rPr>
        <w:rFonts w:ascii="Arial" w:cs="Arial" w:eastAsia="Arial" w:hAnsi="Arial"/>
        <w:color w:val="4A4A4A"/>
        <w:sz w:val="16"/>
        <w:szCs w:val="16"/>
      </w:rPr>
      <w:fldChar w:fldCharType="begin"/>
      <w:instrText xml:space="preserve">PAGE</w:instrText>
      <w:fldChar w:fldCharType="separate"/>
      <w:fldChar w:fldCharType="end"/>
    </w:r>
    <w:r>
      <w:rPr>
        <w:rFonts w:ascii="Arial" w:cs="Arial" w:eastAsia="Arial" w:hAnsi="Arial"/>
        <w:color w:val="4A4A4A"/>
        <w:sz w:val="16"/>
        <w:szCs w:val="16"/>
      </w:rPr>
      <w:t xml:space="preserve"> of </w:t>
    </w:r>
    <w:r>
      <w:rPr>
        <w:rFonts w:ascii="Arial" w:cs="Arial" w:eastAsia="Arial" w:hAnsi="Arial"/>
        <w:color w:val="4A4A4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FB612" w:sz="4" w:space="4"/>
      </w:pBdr>
      <w:tabs>
        <w:tab w:val="right" w:pos="9026"/>
      </w:tabs>
    </w:pPr>
    <w:r>
      <w:rPr>
        <w:rFonts w:ascii="Arial" w:cs="Arial" w:eastAsia="Arial" w:hAnsi="Arial"/>
        <w:i/>
        <w:iCs/>
        <w:color w:val="4A4A4A"/>
        <w:sz w:val="16"/>
        <w:szCs w:val="16"/>
      </w:rPr>
      <w:t xml:space="preserve">South Africa's Growth Agenda: An Integrated Reform Framework</w:t>
    </w:r>
    <w:r>
      <w:rPr>
        <w:rFonts w:ascii="Arial" w:cs="Arial" w:eastAsia="Arial" w:hAnsi="Arial"/>
      </w:rPr>
      <w:t xml:space="preserve">	</w:t>
    </w:r>
    <w:r>
      <w:rPr>
        <w:rFonts w:ascii="Arial" w:cs="Arial" w:eastAsia="Arial" w:hAnsi="Arial"/>
        <w:i/>
        <w:iCs/>
        <w:color w:val="4A4A4A"/>
        <w:sz w:val="16"/>
        <w:szCs w:val="16"/>
      </w:rPr>
      <w:t xml:space="preserve">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07A4D"/>
      <w:sz w:val="32"/>
      <w:szCs w:val="32"/>
    </w:rPr>
  </w:style>
  <w:style w:type="paragraph" w:styleId="Heading2">
    <w:name w:val="Heading 2"/>
    <w:basedOn w:val="Normal"/>
    <w:next w:val="Normal"/>
    <w:qFormat/>
    <w:pPr>
      <w:spacing w:after="120" w:before="300"/>
      <w:outlineLvl w:val="1"/>
    </w:pPr>
    <w:rPr>
      <w:rFonts w:ascii="Arial" w:cs="Arial" w:eastAsia="Arial" w:hAnsi="Arial"/>
      <w:b/>
      <w:bCs/>
      <w:color w:val="000000"/>
      <w:sz w:val="26"/>
      <w:szCs w:val="26"/>
    </w:rPr>
  </w:style>
  <w:style w:type="paragraph" w:styleId="Heading3">
    <w:name w:val="Heading 3"/>
    <w:basedOn w:val="Normal"/>
    <w:next w:val="Normal"/>
    <w:qFormat/>
    <w:pPr>
      <w:spacing w:after="80" w:before="200"/>
      <w:outlineLvl w:val="2"/>
    </w:pPr>
    <w:rPr>
      <w:rFonts w:ascii="Arial" w:cs="Arial" w:eastAsia="Arial" w:hAnsi="Arial"/>
      <w:b/>
      <w:bCs/>
      <w:color w:val="4A4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2026-03-22T17:38:29.046Z</dcterms:created>
  <dcterms:modified xsi:type="dcterms:W3CDTF">2026-03-22T17:38:29.047Z</dcterms:modified>
</cp:coreProperties>
</file>

<file path=docProps/custom.xml><?xml version="1.0" encoding="utf-8"?>
<Properties xmlns="http://schemas.openxmlformats.org/officeDocument/2006/custom-properties" xmlns:vt="http://schemas.openxmlformats.org/officeDocument/2006/docPropsVTypes"/>
</file>